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bookmarkStart w:id="3" w:name="_GoBack"/>
      <w:bookmarkEnd w:id="3"/>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lang w:eastAsia="zh-CN"/>
        </w:rPr>
        <w:t>湘西州中小微企业服务中心</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湘西土家族苗族自治州中小微企业服务中心</w:t>
      </w:r>
      <w:r>
        <w:rPr>
          <w:rFonts w:hint="eastAsia"/>
          <w:b/>
          <w:sz w:val="28"/>
          <w:szCs w:val="28"/>
        </w:rPr>
        <w:t>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color w:val="000000"/>
          <w:kern w:val="0"/>
          <w:sz w:val="28"/>
          <w:szCs w:val="28"/>
          <w:lang w:val="en-US" w:eastAsia="zh-CN"/>
        </w:rPr>
      </w:pPr>
      <w:r>
        <w:rPr>
          <w:rFonts w:hint="eastAsia" w:ascii="仿宋_GB2312" w:hAnsi="仿宋_GB2312" w:cs="仿宋_GB2312"/>
          <w:color w:val="000000"/>
          <w:kern w:val="0"/>
          <w:sz w:val="28"/>
          <w:szCs w:val="28"/>
          <w:lang w:val="en-US" w:eastAsia="zh-CN"/>
        </w:rPr>
        <w:t>九、</w:t>
      </w:r>
      <w:r>
        <w:rPr>
          <w:rFonts w:hint="eastAsia" w:cs="仿宋_GB2312" w:asciiTheme="minorEastAsia" w:hAnsiTheme="minorEastAsia" w:eastAsiaTheme="minorEastAsia"/>
          <w:sz w:val="28"/>
          <w:szCs w:val="28"/>
        </w:rPr>
        <w:t>国有资本经营预算支出决算</w:t>
      </w:r>
      <w:r>
        <w:rPr>
          <w:rFonts w:hint="eastAsia" w:cs="仿宋_GB2312" w:asciiTheme="minorEastAsia" w:hAnsiTheme="minorEastAsia"/>
          <w:sz w:val="28"/>
          <w:szCs w:val="28"/>
          <w:lang w:val="en-US" w:eastAsia="zh-CN"/>
        </w:rPr>
        <w:t>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sz w:val="28"/>
          <w:szCs w:val="28"/>
        </w:rPr>
      </w:pPr>
      <w:r>
        <w:rPr>
          <w:rFonts w:hint="eastAsia" w:ascii="仿宋_GB2312" w:hAnsi="仿宋_GB2312" w:cs="仿宋_GB2312"/>
          <w:color w:val="000000"/>
          <w:kern w:val="0"/>
          <w:sz w:val="28"/>
          <w:szCs w:val="28"/>
          <w:lang w:val="en-US" w:eastAsia="zh-CN"/>
        </w:rPr>
        <w:t>十</w:t>
      </w:r>
      <w:r>
        <w:rPr>
          <w:rFonts w:ascii="仿宋_GB2312" w:hAnsi="仿宋_GB2312" w:cs="仿宋_GB2312"/>
          <w:color w:val="000000"/>
          <w:kern w:val="0"/>
          <w:sz w:val="28"/>
          <w:szCs w:val="28"/>
        </w:rPr>
        <w:t>、</w:t>
      </w:r>
      <w:r>
        <w:rPr>
          <w:rFonts w:hint="eastAsia" w:ascii="仿宋_GB2312" w:hAnsi="仿宋_GB2312" w:cs="仿宋_GB2312" w:eastAsiaTheme="minorEastAsia"/>
          <w:sz w:val="28"/>
          <w:szCs w:val="28"/>
        </w:rPr>
        <w:t>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pStyle w:val="9"/>
        <w:spacing w:line="50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十一</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其他重要事项情况说明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rFonts w:hint="eastAsia"/>
          <w:sz w:val="84"/>
          <w:szCs w:val="84"/>
          <w:lang w:eastAsia="zh-CN"/>
        </w:rPr>
      </w:pPr>
      <w:r>
        <w:rPr>
          <w:rFonts w:hint="eastAsia"/>
          <w:sz w:val="84"/>
          <w:szCs w:val="84"/>
          <w:lang w:eastAsia="zh-CN"/>
        </w:rPr>
        <w:t>湘西土家族苗族自治</w:t>
      </w:r>
    </w:p>
    <w:p>
      <w:pPr>
        <w:pStyle w:val="9"/>
        <w:jc w:val="center"/>
        <w:rPr>
          <w:rFonts w:hint="eastAsia"/>
          <w:sz w:val="84"/>
          <w:szCs w:val="84"/>
          <w:lang w:eastAsia="zh-CN"/>
        </w:rPr>
      </w:pPr>
      <w:r>
        <w:rPr>
          <w:rFonts w:hint="eastAsia"/>
          <w:sz w:val="84"/>
          <w:szCs w:val="84"/>
          <w:lang w:eastAsia="zh-CN"/>
        </w:rPr>
        <w:t>中小微企业服务中心</w:t>
      </w:r>
    </w:p>
    <w:p>
      <w:pPr>
        <w:pStyle w:val="9"/>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0" w:leftChars="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asciiTheme="minorEastAsia" w:hAnsiTheme="minorEastAsia" w:eastAsiaTheme="minorEastAsia"/>
          <w:sz w:val="32"/>
          <w:szCs w:val="32"/>
          <w:lang w:eastAsia="zh-CN"/>
        </w:rPr>
      </w:pPr>
      <w:r>
        <w:rPr>
          <w:rFonts w:hint="eastAsia" w:asciiTheme="minorEastAsia" w:hAnsiTheme="minorEastAsia"/>
          <w:sz w:val="32"/>
          <w:szCs w:val="32"/>
        </w:rPr>
        <w:t>（一）</w:t>
      </w:r>
      <w:r>
        <w:rPr>
          <w:rFonts w:hint="eastAsia" w:asciiTheme="minorEastAsia" w:hAnsiTheme="minorEastAsia"/>
          <w:sz w:val="32"/>
          <w:szCs w:val="32"/>
          <w:lang w:eastAsia="zh-CN"/>
        </w:rPr>
        <w:t>负责做好中小微企业的信息服务、融资服务、技术支持、人才培训、管理咨询、创业辅导、市场开拓、政策法规等服务。</w:t>
      </w:r>
    </w:p>
    <w:p>
      <w:pPr>
        <w:ind w:firstLine="800" w:firstLineChars="250"/>
        <w:jc w:val="left"/>
        <w:rPr>
          <w:rFonts w:hint="eastAsia" w:asciiTheme="minorEastAsia" w:hAnsiTheme="minorEastAsia"/>
          <w:sz w:val="32"/>
          <w:szCs w:val="32"/>
          <w:lang w:eastAsia="zh-CN"/>
        </w:rPr>
      </w:pPr>
      <w:r>
        <w:rPr>
          <w:rFonts w:hint="eastAsia" w:asciiTheme="minorEastAsia" w:hAnsiTheme="minorEastAsia"/>
          <w:sz w:val="32"/>
          <w:szCs w:val="32"/>
        </w:rPr>
        <w:t>（二）</w:t>
      </w:r>
      <w:r>
        <w:rPr>
          <w:rFonts w:hint="eastAsia" w:asciiTheme="minorEastAsia" w:hAnsiTheme="minorEastAsia"/>
          <w:sz w:val="32"/>
          <w:szCs w:val="32"/>
          <w:lang w:eastAsia="zh-CN"/>
        </w:rPr>
        <w:t>配合政府有关部门落实中小微企业扶持政策，了解掌握全州中小微企业情况。</w:t>
      </w:r>
    </w:p>
    <w:p>
      <w:pPr>
        <w:ind w:firstLine="800" w:firstLineChars="250"/>
        <w:jc w:val="left"/>
        <w:rPr>
          <w:rFonts w:ascii="仿宋_GB2312" w:eastAsia="仿宋_GB2312" w:hAnsiTheme="minorEastAsia"/>
          <w:sz w:val="28"/>
          <w:szCs w:val="32"/>
        </w:rPr>
      </w:pPr>
      <w:r>
        <w:rPr>
          <w:rFonts w:hint="eastAsia" w:asciiTheme="minorEastAsia" w:hAnsiTheme="minorEastAsia"/>
          <w:sz w:val="32"/>
          <w:szCs w:val="32"/>
          <w:lang w:eastAsia="zh-CN"/>
        </w:rPr>
        <w:t>（三）受政府有关部门委托，联系或委托区域、行业和各社会服务组织为中小微企业提供服务，管理应急转贷资金。</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lang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湘西土家族苗族州中小微企业服务中心</w:t>
      </w:r>
      <w:r>
        <w:rPr>
          <w:rFonts w:hint="eastAsia" w:asciiTheme="minorEastAsia" w:hAnsiTheme="minorEastAsia"/>
          <w:bCs/>
          <w:kern w:val="0"/>
          <w:sz w:val="32"/>
          <w:szCs w:val="32"/>
        </w:rPr>
        <w:t>单位内设机构包括：</w:t>
      </w:r>
      <w:r>
        <w:rPr>
          <w:rFonts w:hint="eastAsia" w:asciiTheme="minorEastAsia" w:hAnsiTheme="minorEastAsia"/>
          <w:bCs/>
          <w:kern w:val="0"/>
          <w:sz w:val="32"/>
          <w:szCs w:val="32"/>
          <w:lang w:eastAsia="zh-CN"/>
        </w:rPr>
        <w:t>综合科、融资服务科、政策宣传科。</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湘西土家族苗族州中小微企业服务中心</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hint="eastAsia" w:asciiTheme="minorEastAsia" w:hAnsiTheme="minorEastAsia"/>
          <w:bCs/>
          <w:kern w:val="0"/>
          <w:sz w:val="32"/>
          <w:szCs w:val="32"/>
          <w:lang w:eastAsia="zh-CN"/>
        </w:rPr>
        <w:t>湘西土家族苗族州中小微企业服务中心</w:t>
      </w:r>
      <w:r>
        <w:rPr>
          <w:rFonts w:hint="eastAsia" w:asciiTheme="minorEastAsia" w:hAnsiTheme="minorEastAsia"/>
          <w:bCs/>
          <w:kern w:val="0"/>
          <w:sz w:val="32"/>
          <w:szCs w:val="32"/>
        </w:rPr>
        <w:t>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both"/>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湘西土家族苗族自治州中小微企业服务中心</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459"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140.30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204.25</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204.77</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51.12</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七、社会保障和就业支出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16.17</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274.50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八、卫生健康支出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 xml:space="preserve">                         4.15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lang w:eastAsia="zh-CN"/>
              </w:rPr>
              <w:t>九、资源勘探工业信息等支出</w:t>
            </w:r>
            <w:r>
              <w:rPr>
                <w:rFonts w:hint="eastAsia" w:ascii="宋体" w:hAnsi="宋体" w:eastAsia="宋体" w:cs="宋体"/>
                <w:kern w:val="0"/>
                <w:sz w:val="22"/>
                <w:szCs w:val="22"/>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val="0"/>
                <w:bCs w:val="0"/>
                <w:kern w:val="0"/>
                <w:sz w:val="22"/>
                <w:lang w:val="en-US" w:eastAsia="zh-CN"/>
              </w:rPr>
              <w:t>31.99</w:t>
            </w: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rPr>
            </w:pP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7.12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414.80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2</w:t>
            </w:r>
            <w:r>
              <w:rPr>
                <w:rFonts w:hint="eastAsia" w:ascii="宋体" w:hAnsi="宋体" w:eastAsia="宋体" w:cs="宋体"/>
                <w:kern w:val="0"/>
                <w:sz w:val="22"/>
                <w:lang w:val="en-US" w:eastAsia="zh-CN"/>
              </w:rPr>
              <w:t>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519.57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2</w:t>
            </w:r>
            <w:r>
              <w:rPr>
                <w:rFonts w:hint="eastAsia" w:ascii="宋体" w:hAnsi="宋体" w:eastAsia="宋体" w:cs="宋体"/>
                <w:kern w:val="0"/>
                <w:sz w:val="22"/>
                <w:lang w:val="en-US" w:eastAsia="zh-CN"/>
              </w:rPr>
              <w:t>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118.84</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2</w:t>
            </w:r>
            <w:r>
              <w:rPr>
                <w:rFonts w:hint="eastAsia" w:ascii="宋体" w:hAnsi="宋体" w:eastAsia="宋体" w:cs="宋体"/>
                <w:kern w:val="0"/>
                <w:sz w:val="22"/>
                <w:lang w:val="en-US" w:eastAsia="zh-CN"/>
              </w:rPr>
              <w:t>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14.07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533.64</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2</w:t>
            </w:r>
            <w:r>
              <w:rPr>
                <w:rFonts w:hint="eastAsia" w:ascii="宋体" w:hAnsi="宋体" w:eastAsia="宋体" w:cs="宋体"/>
                <w:kern w:val="0"/>
                <w:sz w:val="22"/>
                <w:lang w:val="en-US" w:eastAsia="zh-CN"/>
              </w:rPr>
              <w:t>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val="0"/>
                <w:bCs w:val="0"/>
                <w:kern w:val="0"/>
                <w:sz w:val="22"/>
                <w:lang w:val="en-US" w:eastAsia="zh-CN"/>
              </w:rPr>
              <w:t>533.64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440" w:right="1080" w:bottom="1440" w:left="1080" w:header="851" w:footer="992" w:gutter="0"/>
          <w:cols w:space="425" w:num="1"/>
          <w:docGrid w:type="linesAndChars" w:linePitch="312" w:charSpace="0"/>
        </w:sectPr>
      </w:pPr>
    </w:p>
    <w:tbl>
      <w:tblPr>
        <w:tblStyle w:val="5"/>
        <w:tblW w:w="15428" w:type="dxa"/>
        <w:tblInd w:w="0" w:type="dxa"/>
        <w:tblLayout w:type="autofit"/>
        <w:tblCellMar>
          <w:top w:w="0" w:type="dxa"/>
          <w:left w:w="0" w:type="dxa"/>
          <w:bottom w:w="0" w:type="dxa"/>
          <w:right w:w="0" w:type="dxa"/>
        </w:tblCellMar>
      </w:tblPr>
      <w:tblGrid>
        <w:gridCol w:w="453"/>
        <w:gridCol w:w="321"/>
        <w:gridCol w:w="5016"/>
        <w:gridCol w:w="1620"/>
        <w:gridCol w:w="1588"/>
        <w:gridCol w:w="1135"/>
        <w:gridCol w:w="1135"/>
        <w:gridCol w:w="1135"/>
        <w:gridCol w:w="1137"/>
        <w:gridCol w:w="1888"/>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43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0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502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2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9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5768"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color w:val="000000"/>
                <w:sz w:val="20"/>
                <w:szCs w:val="20"/>
              </w:rPr>
              <w:t>部门：</w:t>
            </w:r>
            <w:r>
              <w:rPr>
                <w:rFonts w:hint="eastAsia"/>
                <w:color w:val="000000"/>
                <w:sz w:val="20"/>
                <w:szCs w:val="20"/>
                <w:lang w:eastAsia="zh-CN"/>
              </w:rPr>
              <w:t>湘西土家族苗族自治州中小微企业</w:t>
            </w:r>
            <w:r>
              <w:rPr>
                <w:rFonts w:hint="eastAsia"/>
                <w:sz w:val="20"/>
                <w:szCs w:val="20"/>
                <w:lang w:eastAsia="zh-CN"/>
              </w:rPr>
              <w:t>服务中心</w:t>
            </w:r>
            <w:r>
              <w:rPr>
                <w:rFonts w:hint="eastAsia"/>
              </w:rPr>
              <w:t>　</w:t>
            </w:r>
          </w:p>
        </w:tc>
        <w:tc>
          <w:tcPr>
            <w:tcW w:w="162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13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9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5768"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2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9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13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13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13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13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89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74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5028"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9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74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502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9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5768"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62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5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1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1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1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1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89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5768"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6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414.80</w:t>
            </w:r>
            <w:r>
              <w:rPr>
                <w:rFonts w:hint="eastAsia"/>
              </w:rPr>
              <w:t>　</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140.30</w:t>
            </w: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9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274.50</w:t>
            </w:r>
            <w:r>
              <w:rPr>
                <w:rFonts w:hint="eastAsia"/>
              </w:rPr>
              <w:t>　</w:t>
            </w:r>
          </w:p>
        </w:tc>
      </w:tr>
      <w:tr>
        <w:tblPrEx>
          <w:tblCellMar>
            <w:top w:w="0" w:type="dxa"/>
            <w:left w:w="0" w:type="dxa"/>
            <w:bottom w:w="0" w:type="dxa"/>
            <w:right w:w="0" w:type="dxa"/>
          </w:tblCellMar>
        </w:tblPrEx>
        <w:trPr>
          <w:trHeight w:val="450" w:hRule="atLeast"/>
        </w:trPr>
        <w:tc>
          <w:tcPr>
            <w:tcW w:w="74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2019999</w:t>
            </w:r>
          </w:p>
        </w:tc>
        <w:tc>
          <w:tcPr>
            <w:tcW w:w="50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ascii="宋体" w:hAnsi="宋体" w:cs="宋体" w:eastAsiaTheme="minorEastAsia"/>
                <w:sz w:val="24"/>
                <w:szCs w:val="24"/>
                <w:lang w:eastAsia="zh-CN"/>
              </w:rPr>
            </w:pPr>
            <w:r>
              <w:rPr>
                <w:rFonts w:hint="eastAsia"/>
                <w:lang w:eastAsia="zh-CN"/>
              </w:rPr>
              <w:t>其他一般公共服务支出</w:t>
            </w:r>
          </w:p>
        </w:tc>
        <w:tc>
          <w:tcPr>
            <w:tcW w:w="16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204.50</w:t>
            </w:r>
            <w:r>
              <w:rPr>
                <w:rFonts w:hint="eastAsia"/>
              </w:rPr>
              <w:t>　</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9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204.50</w:t>
            </w:r>
            <w:r>
              <w:rPr>
                <w:rFonts w:hint="eastAsia"/>
              </w:rPr>
              <w:t>　</w:t>
            </w:r>
          </w:p>
        </w:tc>
      </w:tr>
      <w:tr>
        <w:tblPrEx>
          <w:tblCellMar>
            <w:top w:w="0" w:type="dxa"/>
            <w:left w:w="0" w:type="dxa"/>
            <w:bottom w:w="0" w:type="dxa"/>
            <w:right w:w="0" w:type="dxa"/>
          </w:tblCellMar>
        </w:tblPrEx>
        <w:trPr>
          <w:trHeight w:val="450" w:hRule="atLeast"/>
        </w:trPr>
        <w:tc>
          <w:tcPr>
            <w:tcW w:w="74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2050399</w:t>
            </w:r>
          </w:p>
        </w:tc>
        <w:tc>
          <w:tcPr>
            <w:tcW w:w="50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ascii="宋体" w:hAnsi="宋体" w:cs="宋体" w:eastAsiaTheme="minorEastAsia"/>
                <w:sz w:val="24"/>
                <w:szCs w:val="24"/>
                <w:lang w:eastAsia="zh-CN"/>
              </w:rPr>
            </w:pPr>
            <w:r>
              <w:rPr>
                <w:rFonts w:hint="eastAsia"/>
                <w:lang w:eastAsia="zh-CN"/>
              </w:rPr>
              <w:t>其他教育支出</w:t>
            </w:r>
          </w:p>
        </w:tc>
        <w:tc>
          <w:tcPr>
            <w:tcW w:w="16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ascii="华文中宋" w:hAnsi="华文中宋" w:eastAsia="华文中宋"/>
                <w:lang w:val="en-US" w:eastAsia="zh-CN"/>
              </w:rPr>
              <w:t>142.86</w:t>
            </w:r>
            <w:r>
              <w:rPr>
                <w:rFonts w:hint="eastAsia" w:ascii="华文中宋" w:hAnsi="华文中宋" w:eastAsia="华文中宋"/>
              </w:rPr>
              <w:t>　</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112.86</w:t>
            </w: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9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30.00</w:t>
            </w:r>
            <w:r>
              <w:rPr>
                <w:rFonts w:hint="eastAsia"/>
              </w:rPr>
              <w:t>　</w:t>
            </w:r>
          </w:p>
        </w:tc>
      </w:tr>
      <w:tr>
        <w:tblPrEx>
          <w:tblCellMar>
            <w:top w:w="0" w:type="dxa"/>
            <w:left w:w="0" w:type="dxa"/>
            <w:bottom w:w="0" w:type="dxa"/>
            <w:right w:w="0" w:type="dxa"/>
          </w:tblCellMar>
        </w:tblPrEx>
        <w:trPr>
          <w:trHeight w:val="450" w:hRule="atLeast"/>
        </w:trPr>
        <w:tc>
          <w:tcPr>
            <w:tcW w:w="74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2080502</w:t>
            </w:r>
          </w:p>
        </w:tc>
        <w:tc>
          <w:tcPr>
            <w:tcW w:w="50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lang w:eastAsia="zh-CN"/>
              </w:rPr>
            </w:pPr>
            <w:r>
              <w:rPr>
                <w:rFonts w:hint="eastAsia"/>
                <w:lang w:eastAsia="zh-CN"/>
              </w:rPr>
              <w:t>事业单位离退休</w:t>
            </w:r>
          </w:p>
        </w:tc>
        <w:tc>
          <w:tcPr>
            <w:tcW w:w="16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华文中宋" w:hAnsi="华文中宋" w:eastAsia="华文中宋"/>
                <w:lang w:val="en-US" w:eastAsia="zh-CN"/>
              </w:rPr>
            </w:pPr>
            <w:r>
              <w:rPr>
                <w:rFonts w:hint="eastAsia" w:ascii="华文中宋" w:hAnsi="华文中宋" w:eastAsia="华文中宋"/>
                <w:lang w:val="en-US" w:eastAsia="zh-CN"/>
              </w:rPr>
              <w:t>6.68</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6.68</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13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9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lang w:val="en-US" w:eastAsia="zh-CN"/>
              </w:rPr>
            </w:pPr>
          </w:p>
        </w:tc>
      </w:tr>
      <w:tr>
        <w:tblPrEx>
          <w:tblCellMar>
            <w:top w:w="0" w:type="dxa"/>
            <w:left w:w="0" w:type="dxa"/>
            <w:bottom w:w="0" w:type="dxa"/>
            <w:right w:w="0" w:type="dxa"/>
          </w:tblCellMar>
        </w:tblPrEx>
        <w:trPr>
          <w:trHeight w:val="450" w:hRule="atLeast"/>
        </w:trPr>
        <w:tc>
          <w:tcPr>
            <w:tcW w:w="74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2080505</w:t>
            </w:r>
          </w:p>
        </w:tc>
        <w:tc>
          <w:tcPr>
            <w:tcW w:w="50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机关事业单位基本养老保险缴费支出</w:t>
            </w:r>
          </w:p>
        </w:tc>
        <w:tc>
          <w:tcPr>
            <w:tcW w:w="16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9.49</w:t>
            </w:r>
            <w:r>
              <w:rPr>
                <w:rFonts w:hint="eastAsia"/>
              </w:rPr>
              <w:t>　</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9.49</w:t>
            </w: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9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74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2101102</w:t>
            </w:r>
          </w:p>
        </w:tc>
        <w:tc>
          <w:tcPr>
            <w:tcW w:w="50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事业单位医疗</w:t>
            </w:r>
          </w:p>
        </w:tc>
        <w:tc>
          <w:tcPr>
            <w:tcW w:w="16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4.15</w:t>
            </w:r>
            <w:r>
              <w:rPr>
                <w:rFonts w:hint="eastAsia"/>
              </w:rPr>
              <w:t>　</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4.15</w:t>
            </w: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9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74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2150805</w:t>
            </w:r>
          </w:p>
        </w:tc>
        <w:tc>
          <w:tcPr>
            <w:tcW w:w="50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中小企业发展专项</w:t>
            </w:r>
          </w:p>
        </w:tc>
        <w:tc>
          <w:tcPr>
            <w:tcW w:w="16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40.00</w:t>
            </w:r>
            <w:r>
              <w:rPr>
                <w:rFonts w:hint="eastAsia"/>
              </w:rPr>
              <w:t>　</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9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40.00</w:t>
            </w:r>
            <w:r>
              <w:rPr>
                <w:rFonts w:hint="eastAsia"/>
              </w:rPr>
              <w:t>　</w:t>
            </w:r>
          </w:p>
        </w:tc>
      </w:tr>
      <w:tr>
        <w:tblPrEx>
          <w:tblCellMar>
            <w:top w:w="0" w:type="dxa"/>
            <w:left w:w="0" w:type="dxa"/>
            <w:bottom w:w="0" w:type="dxa"/>
            <w:right w:w="0" w:type="dxa"/>
          </w:tblCellMar>
        </w:tblPrEx>
        <w:trPr>
          <w:trHeight w:val="450" w:hRule="atLeast"/>
        </w:trPr>
        <w:tc>
          <w:tcPr>
            <w:tcW w:w="74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2210201</w:t>
            </w:r>
          </w:p>
        </w:tc>
        <w:tc>
          <w:tcPr>
            <w:tcW w:w="50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住房公积金</w:t>
            </w:r>
          </w:p>
        </w:tc>
        <w:tc>
          <w:tcPr>
            <w:tcW w:w="16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7.12</w:t>
            </w:r>
            <w:r>
              <w:rPr>
                <w:rFonts w:hint="eastAsia"/>
              </w:rPr>
              <w:t>　</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7.12</w:t>
            </w: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9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803" w:type="dxa"/>
        <w:tblInd w:w="93" w:type="dxa"/>
        <w:tblLayout w:type="fixed"/>
        <w:tblCellMar>
          <w:top w:w="0" w:type="dxa"/>
          <w:left w:w="108" w:type="dxa"/>
          <w:bottom w:w="0" w:type="dxa"/>
          <w:right w:w="108" w:type="dxa"/>
        </w:tblCellMar>
      </w:tblPr>
      <w:tblGrid>
        <w:gridCol w:w="1024"/>
        <w:gridCol w:w="240"/>
        <w:gridCol w:w="4209"/>
        <w:gridCol w:w="1380"/>
        <w:gridCol w:w="1245"/>
        <w:gridCol w:w="1635"/>
        <w:gridCol w:w="1695"/>
        <w:gridCol w:w="1395"/>
        <w:gridCol w:w="1980"/>
      </w:tblGrid>
      <w:tr>
        <w:tblPrEx>
          <w:tblCellMar>
            <w:top w:w="0" w:type="dxa"/>
            <w:left w:w="108" w:type="dxa"/>
            <w:bottom w:w="0" w:type="dxa"/>
            <w:right w:w="108" w:type="dxa"/>
          </w:tblCellMar>
        </w:tblPrEx>
        <w:trPr>
          <w:trHeight w:val="435" w:hRule="atLeast"/>
        </w:trPr>
        <w:tc>
          <w:tcPr>
            <w:tcW w:w="14803"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2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20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67" w:hRule="atLeast"/>
        </w:trPr>
        <w:tc>
          <w:tcPr>
            <w:tcW w:w="5473" w:type="dxa"/>
            <w:gridSpan w:val="3"/>
            <w:tcBorders>
              <w:top w:val="nil"/>
              <w:left w:val="nil"/>
              <w:bottom w:val="nil"/>
              <w:right w:val="nil"/>
            </w:tcBorders>
            <w:shd w:val="clear" w:color="000000" w:fill="FFFFFF"/>
            <w:noWrap/>
            <w:vAlign w:val="top"/>
          </w:tcPr>
          <w:p>
            <w:pPr>
              <w:jc w:val="both"/>
              <w:rPr>
                <w:rFonts w:ascii="宋体" w:hAnsi="宋体" w:eastAsia="宋体" w:cs="宋体"/>
                <w:kern w:val="0"/>
                <w:sz w:val="24"/>
                <w:szCs w:val="24"/>
              </w:rPr>
            </w:pPr>
            <w:r>
              <w:rPr>
                <w:rFonts w:hint="eastAsia"/>
                <w:color w:val="000000"/>
                <w:sz w:val="20"/>
                <w:szCs w:val="20"/>
              </w:rPr>
              <w:t>部门：</w:t>
            </w:r>
            <w:r>
              <w:rPr>
                <w:rFonts w:hint="eastAsia"/>
                <w:color w:val="000000"/>
                <w:sz w:val="20"/>
                <w:szCs w:val="20"/>
                <w:lang w:eastAsia="zh-CN"/>
              </w:rPr>
              <w:t>湘西土家族苗族自治州中小微企业</w:t>
            </w:r>
            <w:r>
              <w:rPr>
                <w:rFonts w:hint="eastAsia"/>
                <w:sz w:val="20"/>
                <w:szCs w:val="20"/>
                <w:lang w:eastAsia="zh-CN"/>
              </w:rPr>
              <w:t>服务中心</w:t>
            </w:r>
          </w:p>
        </w:tc>
        <w:tc>
          <w:tcPr>
            <w:tcW w:w="138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35"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5473"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3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24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3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9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39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9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420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42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5473"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3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9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39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5473"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519.57</w:t>
            </w:r>
            <w:r>
              <w:rPr>
                <w:rFonts w:hint="eastAsia" w:ascii="宋体" w:hAnsi="宋体" w:eastAsia="宋体" w:cs="宋体"/>
                <w:kern w:val="0"/>
                <w:sz w:val="24"/>
                <w:szCs w:val="24"/>
              </w:rPr>
              <w:t>　</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141.16</w:t>
            </w:r>
            <w:r>
              <w:rPr>
                <w:rFonts w:hint="eastAsia" w:ascii="宋体" w:hAnsi="宋体" w:eastAsia="宋体" w:cs="宋体"/>
                <w:kern w:val="0"/>
                <w:sz w:val="24"/>
                <w:szCs w:val="24"/>
              </w:rPr>
              <w:t>　</w:t>
            </w:r>
          </w:p>
        </w:tc>
        <w:tc>
          <w:tcPr>
            <w:tcW w:w="16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378.42</w:t>
            </w:r>
            <w:r>
              <w:rPr>
                <w:rFonts w:hint="eastAsia" w:ascii="宋体" w:hAnsi="宋体" w:eastAsia="宋体" w:cs="宋体"/>
                <w:kern w:val="0"/>
                <w:sz w:val="24"/>
                <w:szCs w:val="24"/>
              </w:rPr>
              <w:t>　</w:t>
            </w:r>
          </w:p>
        </w:tc>
        <w:tc>
          <w:tcPr>
            <w:tcW w:w="16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2019999</w:t>
            </w:r>
          </w:p>
        </w:tc>
        <w:tc>
          <w:tcPr>
            <w:tcW w:w="4209"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其他一般公共服务支出</w:t>
            </w:r>
          </w:p>
        </w:tc>
        <w:tc>
          <w:tcPr>
            <w:tcW w:w="13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204.25</w:t>
            </w:r>
            <w:r>
              <w:rPr>
                <w:rFonts w:hint="eastAsia" w:ascii="宋体" w:hAnsi="宋体" w:eastAsia="宋体" w:cs="宋体"/>
                <w:kern w:val="0"/>
                <w:sz w:val="24"/>
                <w:szCs w:val="24"/>
              </w:rPr>
              <w:t>　</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204.25</w:t>
            </w:r>
            <w:r>
              <w:rPr>
                <w:rFonts w:hint="eastAsia" w:ascii="宋体" w:hAnsi="宋体" w:eastAsia="宋体" w:cs="宋体"/>
                <w:kern w:val="0"/>
                <w:sz w:val="24"/>
                <w:szCs w:val="24"/>
              </w:rPr>
              <w:t>　</w:t>
            </w:r>
          </w:p>
        </w:tc>
        <w:tc>
          <w:tcPr>
            <w:tcW w:w="16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2050399</w:t>
            </w:r>
          </w:p>
        </w:tc>
        <w:tc>
          <w:tcPr>
            <w:tcW w:w="4209"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其他职业教育支出</w:t>
            </w:r>
          </w:p>
        </w:tc>
        <w:tc>
          <w:tcPr>
            <w:tcW w:w="13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204.77</w:t>
            </w:r>
            <w:r>
              <w:rPr>
                <w:rFonts w:hint="eastAsia" w:ascii="宋体" w:hAnsi="宋体" w:eastAsia="宋体" w:cs="宋体"/>
                <w:kern w:val="0"/>
                <w:sz w:val="24"/>
                <w:szCs w:val="24"/>
              </w:rPr>
              <w:t>　</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113.71</w:t>
            </w:r>
            <w:r>
              <w:rPr>
                <w:rFonts w:hint="eastAsia" w:ascii="宋体" w:hAnsi="宋体" w:eastAsia="宋体" w:cs="宋体"/>
                <w:kern w:val="0"/>
                <w:sz w:val="24"/>
                <w:szCs w:val="24"/>
              </w:rPr>
              <w:t>　</w:t>
            </w:r>
          </w:p>
        </w:tc>
        <w:tc>
          <w:tcPr>
            <w:tcW w:w="16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91.06</w:t>
            </w:r>
            <w:r>
              <w:rPr>
                <w:rFonts w:hint="eastAsia" w:ascii="宋体" w:hAnsi="宋体" w:eastAsia="宋体" w:cs="宋体"/>
                <w:kern w:val="0"/>
                <w:sz w:val="24"/>
                <w:szCs w:val="24"/>
              </w:rPr>
              <w:t>　</w:t>
            </w:r>
          </w:p>
        </w:tc>
        <w:tc>
          <w:tcPr>
            <w:tcW w:w="16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2060499</w:t>
            </w:r>
          </w:p>
        </w:tc>
        <w:tc>
          <w:tcPr>
            <w:tcW w:w="4209"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其他技术研究与开发支出</w:t>
            </w:r>
          </w:p>
        </w:tc>
        <w:tc>
          <w:tcPr>
            <w:tcW w:w="13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51.12</w:t>
            </w:r>
            <w:r>
              <w:rPr>
                <w:rFonts w:hint="eastAsia" w:ascii="宋体" w:hAnsi="宋体" w:eastAsia="宋体" w:cs="宋体"/>
                <w:kern w:val="0"/>
                <w:sz w:val="24"/>
                <w:szCs w:val="24"/>
              </w:rPr>
              <w:t>　</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51.12</w:t>
            </w:r>
            <w:r>
              <w:rPr>
                <w:rFonts w:hint="eastAsia" w:ascii="宋体" w:hAnsi="宋体" w:eastAsia="宋体" w:cs="宋体"/>
                <w:kern w:val="0"/>
                <w:sz w:val="24"/>
                <w:szCs w:val="24"/>
              </w:rPr>
              <w:t>　</w:t>
            </w:r>
          </w:p>
        </w:tc>
        <w:tc>
          <w:tcPr>
            <w:tcW w:w="16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2080502</w:t>
            </w:r>
          </w:p>
        </w:tc>
        <w:tc>
          <w:tcPr>
            <w:tcW w:w="4209"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事业单位离退休</w:t>
            </w:r>
          </w:p>
        </w:tc>
        <w:tc>
          <w:tcPr>
            <w:tcW w:w="138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6.68</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6.68</w:t>
            </w:r>
          </w:p>
        </w:tc>
        <w:tc>
          <w:tcPr>
            <w:tcW w:w="16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p>
        </w:tc>
        <w:tc>
          <w:tcPr>
            <w:tcW w:w="169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2080505</w:t>
            </w:r>
          </w:p>
        </w:tc>
        <w:tc>
          <w:tcPr>
            <w:tcW w:w="4209"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机关事业单位基本养老保险缴费支出</w:t>
            </w:r>
          </w:p>
        </w:tc>
        <w:tc>
          <w:tcPr>
            <w:tcW w:w="13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9.49</w:t>
            </w:r>
            <w:r>
              <w:rPr>
                <w:rFonts w:hint="eastAsia" w:ascii="宋体" w:hAnsi="宋体" w:eastAsia="宋体" w:cs="宋体"/>
                <w:kern w:val="0"/>
                <w:sz w:val="24"/>
                <w:szCs w:val="24"/>
              </w:rPr>
              <w:t>　</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9.49</w:t>
            </w:r>
            <w:r>
              <w:rPr>
                <w:rFonts w:hint="eastAsia" w:ascii="宋体" w:hAnsi="宋体" w:eastAsia="宋体" w:cs="宋体"/>
                <w:kern w:val="0"/>
                <w:sz w:val="24"/>
                <w:szCs w:val="24"/>
              </w:rPr>
              <w:t>　</w:t>
            </w:r>
          </w:p>
        </w:tc>
        <w:tc>
          <w:tcPr>
            <w:tcW w:w="16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2101102</w:t>
            </w:r>
          </w:p>
        </w:tc>
        <w:tc>
          <w:tcPr>
            <w:tcW w:w="420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lang w:eastAsia="zh-CN"/>
              </w:rPr>
              <w:t>事业单位医疗</w:t>
            </w:r>
            <w:r>
              <w:rPr>
                <w:rFonts w:hint="eastAsia" w:ascii="宋体" w:hAnsi="宋体" w:eastAsia="宋体" w:cs="宋体"/>
                <w:kern w:val="0"/>
                <w:sz w:val="24"/>
                <w:szCs w:val="24"/>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4.15</w:t>
            </w:r>
            <w:r>
              <w:rPr>
                <w:rFonts w:hint="eastAsia" w:ascii="宋体" w:hAnsi="宋体" w:eastAsia="宋体" w:cs="宋体"/>
                <w:kern w:val="0"/>
                <w:sz w:val="24"/>
                <w:szCs w:val="24"/>
              </w:rPr>
              <w:t>　</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4.15</w:t>
            </w:r>
            <w:r>
              <w:rPr>
                <w:rFonts w:hint="eastAsia" w:ascii="宋体" w:hAnsi="宋体" w:eastAsia="宋体" w:cs="宋体"/>
                <w:kern w:val="0"/>
                <w:sz w:val="24"/>
                <w:szCs w:val="24"/>
              </w:rPr>
              <w:t>　</w:t>
            </w:r>
          </w:p>
        </w:tc>
        <w:tc>
          <w:tcPr>
            <w:tcW w:w="16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2150805</w:t>
            </w:r>
          </w:p>
        </w:tc>
        <w:tc>
          <w:tcPr>
            <w:tcW w:w="4209"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中小企业发展专项</w:t>
            </w:r>
          </w:p>
        </w:tc>
        <w:tc>
          <w:tcPr>
            <w:tcW w:w="13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31.99</w:t>
            </w:r>
            <w:r>
              <w:rPr>
                <w:rFonts w:hint="eastAsia" w:ascii="宋体" w:hAnsi="宋体" w:eastAsia="宋体" w:cs="宋体"/>
                <w:kern w:val="0"/>
                <w:sz w:val="24"/>
                <w:szCs w:val="24"/>
              </w:rPr>
              <w:t>　</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31.99</w:t>
            </w:r>
            <w:r>
              <w:rPr>
                <w:rFonts w:hint="eastAsia" w:ascii="宋体" w:hAnsi="宋体" w:eastAsia="宋体" w:cs="宋体"/>
                <w:kern w:val="0"/>
                <w:sz w:val="24"/>
                <w:szCs w:val="24"/>
              </w:rPr>
              <w:t>　</w:t>
            </w:r>
          </w:p>
        </w:tc>
        <w:tc>
          <w:tcPr>
            <w:tcW w:w="16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2210201</w:t>
            </w:r>
          </w:p>
        </w:tc>
        <w:tc>
          <w:tcPr>
            <w:tcW w:w="4209"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住房公积金</w:t>
            </w:r>
          </w:p>
        </w:tc>
        <w:tc>
          <w:tcPr>
            <w:tcW w:w="138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7.12</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7.12</w:t>
            </w:r>
          </w:p>
        </w:tc>
        <w:tc>
          <w:tcPr>
            <w:tcW w:w="16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9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803"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6"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6"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湘西州中小微企业服务中心</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140.30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113.71</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113.71</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51.12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51.12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七、卫生健康支出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4.15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4.15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八、资源勘探工业信息等支出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4.26</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4.26</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140.30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b w:val="0"/>
                <w:bCs w:val="0"/>
                <w:kern w:val="0"/>
                <w:sz w:val="22"/>
                <w:lang w:eastAsia="zh-CN"/>
              </w:rPr>
            </w:pPr>
            <w:r>
              <w:rPr>
                <w:rFonts w:hint="eastAsia" w:ascii="宋体" w:hAnsi="宋体" w:eastAsia="宋体" w:cs="宋体"/>
                <w:b w:val="0"/>
                <w:bCs w:val="0"/>
                <w:kern w:val="0"/>
                <w:sz w:val="22"/>
                <w:lang w:eastAsia="zh-CN"/>
              </w:rPr>
              <w:t>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7.12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7.12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57.79</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val="0"/>
                <w:bCs w:val="0"/>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57.79</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196.54</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196.54</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1.54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1.54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198.08</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198.08</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198.08</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ind w:left="3570" w:hanging="3570" w:hangingChars="170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color w:val="000000"/>
          <w:sz w:val="20"/>
          <w:szCs w:val="20"/>
          <w:lang w:eastAsia="zh-CN"/>
        </w:rPr>
        <w:t>湘西土家族苗族自治州中小微企业</w:t>
      </w:r>
      <w:r>
        <w:rPr>
          <w:rFonts w:hint="eastAsia"/>
          <w:sz w:val="20"/>
          <w:szCs w:val="20"/>
          <w:lang w:eastAsia="zh-CN"/>
        </w:rPr>
        <w:t>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699"/>
        <w:gridCol w:w="2828"/>
        <w:gridCol w:w="3492"/>
        <w:gridCol w:w="3000"/>
      </w:tblGrid>
      <w:tr>
        <w:tblPrEx>
          <w:tblCellMar>
            <w:top w:w="0" w:type="dxa"/>
            <w:left w:w="108" w:type="dxa"/>
            <w:bottom w:w="0" w:type="dxa"/>
            <w:right w:w="108" w:type="dxa"/>
          </w:tblCellMar>
        </w:tblPrEx>
        <w:trPr>
          <w:trHeight w:val="405" w:hRule="atLeast"/>
          <w:jc w:val="center"/>
        </w:trPr>
        <w:tc>
          <w:tcPr>
            <w:tcW w:w="4899"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320"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6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6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6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89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89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196.54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141.16</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55.39</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2050399</w:t>
            </w:r>
            <w:r>
              <w:rPr>
                <w:rFonts w:ascii="Times New Roman" w:hAnsi="Times New Roman" w:eastAsia="仿宋_GB2312" w:cs="Times New Roman"/>
                <w:kern w:val="0"/>
                <w:szCs w:val="21"/>
              </w:rPr>
              <w:t>　</w:t>
            </w:r>
          </w:p>
        </w:tc>
        <w:tc>
          <w:tcPr>
            <w:tcW w:w="3699"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其他职业教育支出</w:t>
            </w:r>
          </w:p>
        </w:tc>
        <w:tc>
          <w:tcPr>
            <w:tcW w:w="2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113.71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113.71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2060499</w:t>
            </w:r>
          </w:p>
        </w:tc>
        <w:tc>
          <w:tcPr>
            <w:tcW w:w="3699"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其他技术研究与开发支出</w:t>
            </w:r>
          </w:p>
        </w:tc>
        <w:tc>
          <w:tcPr>
            <w:tcW w:w="2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51.12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51.12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2080502</w:t>
            </w:r>
          </w:p>
        </w:tc>
        <w:tc>
          <w:tcPr>
            <w:tcW w:w="3699"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事业单位离退休</w:t>
            </w:r>
          </w:p>
        </w:tc>
        <w:tc>
          <w:tcPr>
            <w:tcW w:w="2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6.68</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6.68</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2080505</w:t>
            </w:r>
          </w:p>
        </w:tc>
        <w:tc>
          <w:tcPr>
            <w:tcW w:w="3699"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机关事业单位基本养老保险缴费支出</w:t>
            </w:r>
          </w:p>
        </w:tc>
        <w:tc>
          <w:tcPr>
            <w:tcW w:w="2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9.49</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9.49</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2101102</w:t>
            </w:r>
          </w:p>
        </w:tc>
        <w:tc>
          <w:tcPr>
            <w:tcW w:w="3699"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事业单位医疗</w:t>
            </w:r>
          </w:p>
        </w:tc>
        <w:tc>
          <w:tcPr>
            <w:tcW w:w="2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4.15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4.15</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2150805</w:t>
            </w:r>
            <w:r>
              <w:rPr>
                <w:rFonts w:ascii="Times New Roman" w:hAnsi="Times New Roman" w:eastAsia="仿宋_GB2312" w:cs="Times New Roman"/>
                <w:kern w:val="0"/>
                <w:szCs w:val="21"/>
              </w:rPr>
              <w:t>　</w:t>
            </w:r>
          </w:p>
        </w:tc>
        <w:tc>
          <w:tcPr>
            <w:tcW w:w="3699"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中小企业发展专项</w:t>
            </w:r>
          </w:p>
        </w:tc>
        <w:tc>
          <w:tcPr>
            <w:tcW w:w="2828"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4.26</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4.26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2210201</w:t>
            </w:r>
          </w:p>
        </w:tc>
        <w:tc>
          <w:tcPr>
            <w:tcW w:w="3699"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住房公积金</w:t>
            </w:r>
          </w:p>
        </w:tc>
        <w:tc>
          <w:tcPr>
            <w:tcW w:w="2828"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7.12</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7.12</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35"/>
        <w:gridCol w:w="3357"/>
        <w:gridCol w:w="949"/>
        <w:gridCol w:w="855"/>
        <w:gridCol w:w="2310"/>
        <w:gridCol w:w="949"/>
        <w:gridCol w:w="855"/>
        <w:gridCol w:w="4195"/>
        <w:gridCol w:w="809"/>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both"/>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lang w:eastAsia="zh-CN"/>
              </w:rPr>
              <w:t>部门：湘西土家族苗族自治州中小微企业服务中心</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94.12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20.96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41.78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3.33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0.61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0.38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21.84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0.60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10.29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8.32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0.33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7.14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0.30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26.07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0.45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0.20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0.54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0.35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0.52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0.98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24.07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0.62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0.34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5.90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120.19</w:t>
            </w:r>
            <w:r>
              <w:rPr>
                <w:rFonts w:hint="eastAsia" w:ascii="宋体" w:hAnsi="宋体" w:eastAsia="宋体" w:cs="宋体"/>
                <w:color w:val="000000"/>
                <w:kern w:val="0"/>
                <w:szCs w:val="20"/>
              </w:rPr>
              <w:t>　</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lang w:val="en-US" w:eastAsia="zh-CN"/>
              </w:rPr>
              <w:t>20.96</w:t>
            </w:r>
            <w:r>
              <w:rPr>
                <w:rFonts w:hint="eastAsia" w:ascii="宋体" w:hAnsi="宋体" w:eastAsia="宋体" w:cs="宋体"/>
                <w:color w:val="000000"/>
                <w:kern w:val="0"/>
                <w:szCs w:val="18"/>
              </w:rPr>
              <w:t>　</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firstLine="420" w:firstLineChars="200"/>
        <w:jc w:val="both"/>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eastAsia="zh-CN"/>
        </w:rPr>
        <w:t>部门：湘西土家族苗族自治州中小微企业服务中心</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0.35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0.35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0.35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0.35</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公开08表</w:t>
      </w:r>
    </w:p>
    <w:p>
      <w:pPr>
        <w:widowControl/>
        <w:ind w:firstLine="630" w:firstLineChars="300"/>
        <w:jc w:val="both"/>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eastAsia="zh-CN"/>
        </w:rPr>
        <w:t>部门：湘西土家族苗族自治州中小微企业服务中心</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8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lang w:eastAsia="zh-CN"/>
              </w:rPr>
              <w:t>湘西土家族苗族自治州中小微企业服务中心</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ind w:firstLine="4200" w:firstLineChars="2100"/>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533.64</w:t>
      </w:r>
      <w:r>
        <w:rPr>
          <w:rFonts w:hint="eastAsia" w:asciiTheme="minorEastAsia" w:hAnsiTheme="minorEastAsia" w:eastAsiaTheme="minorEastAsia"/>
          <w:sz w:val="32"/>
          <w:szCs w:val="32"/>
        </w:rPr>
        <w:t>万元。与</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rPr>
        <w:t>相比，减少</w:t>
      </w:r>
      <w:r>
        <w:rPr>
          <w:rFonts w:hint="eastAsia" w:asciiTheme="minorEastAsia" w:hAnsiTheme="minorEastAsia" w:eastAsiaTheme="minorEastAsia"/>
          <w:sz w:val="32"/>
          <w:szCs w:val="32"/>
          <w:lang w:val="en-US" w:eastAsia="zh-CN"/>
        </w:rPr>
        <w:t>48.63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8.35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科创园项目资金已经移交给经开区建设管理，项目资金来源减少。</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414.80</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140.30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33.82</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万元；其他收入</w:t>
      </w:r>
      <w:r>
        <w:rPr>
          <w:rFonts w:hint="eastAsia" w:asciiTheme="minorEastAsia" w:hAnsiTheme="minorEastAsia" w:eastAsiaTheme="minorEastAsia"/>
          <w:sz w:val="32"/>
          <w:szCs w:val="32"/>
          <w:lang w:val="en-US" w:eastAsia="zh-CN"/>
        </w:rPr>
        <w:t>274.50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66.18</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519.57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141.16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27.17</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378.41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72.83</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2020年度财政拨款收、支总计</w:t>
      </w:r>
      <w:r>
        <w:rPr>
          <w:rFonts w:hint="eastAsia" w:asciiTheme="minorEastAsia" w:hAnsiTheme="minorEastAsia" w:eastAsiaTheme="minorEastAsia"/>
          <w:sz w:val="32"/>
          <w:szCs w:val="32"/>
          <w:lang w:val="en-US" w:eastAsia="zh-CN"/>
        </w:rPr>
        <w:t>198.08</w:t>
      </w:r>
      <w:r>
        <w:rPr>
          <w:rFonts w:hint="eastAsia" w:asciiTheme="minorEastAsia" w:hAnsiTheme="minorEastAsia" w:eastAsiaTheme="minorEastAsia"/>
          <w:sz w:val="32"/>
          <w:szCs w:val="32"/>
        </w:rPr>
        <w:t>万元，与</w:t>
      </w:r>
      <w:r>
        <w:rPr>
          <w:rFonts w:hint="eastAsia" w:asciiTheme="minorEastAsia" w:hAnsiTheme="minorEastAsia" w:eastAsiaTheme="minorEastAsia"/>
          <w:sz w:val="32"/>
          <w:szCs w:val="32"/>
          <w:lang w:val="en-US" w:eastAsia="zh-CN"/>
        </w:rPr>
        <w:t>2019</w:t>
      </w:r>
      <w:r>
        <w:rPr>
          <w:rFonts w:hint="eastAsia" w:asciiTheme="minorEastAsia" w:hAnsiTheme="minorEastAsia" w:eastAsiaTheme="minorEastAsia"/>
          <w:sz w:val="32"/>
          <w:szCs w:val="32"/>
        </w:rPr>
        <w:t>年相比，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0.11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0.05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单位人员有新增。</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196.54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37.83</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rPr>
        <w:t>相比，财政拨款支出增加</w:t>
      </w:r>
      <w:r>
        <w:rPr>
          <w:rFonts w:hint="eastAsia" w:asciiTheme="minorEastAsia" w:hAnsiTheme="minorEastAsia" w:eastAsiaTheme="minorEastAsia"/>
          <w:sz w:val="32"/>
          <w:szCs w:val="32"/>
          <w:lang w:val="en-US" w:eastAsia="zh-CN"/>
        </w:rPr>
        <w:t>53.97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37.86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单位人员有新增。</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196.54</w:t>
      </w:r>
      <w:r>
        <w:rPr>
          <w:rFonts w:hint="eastAsia" w:asciiTheme="minorEastAsia" w:hAnsiTheme="minorEastAsia" w:eastAsiaTheme="minorEastAsia"/>
          <w:sz w:val="32"/>
          <w:szCs w:val="32"/>
        </w:rPr>
        <w:t>万元，主要用于以下方面：教育（类）支出</w:t>
      </w:r>
      <w:r>
        <w:rPr>
          <w:rFonts w:hint="eastAsia" w:asciiTheme="minorEastAsia" w:hAnsiTheme="minorEastAsia" w:eastAsiaTheme="minorEastAsia"/>
          <w:sz w:val="32"/>
          <w:szCs w:val="32"/>
          <w:lang w:val="en-US" w:eastAsia="zh-CN"/>
        </w:rPr>
        <w:t>113.71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57.86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科学技术（类）支出</w:t>
      </w:r>
      <w:r>
        <w:rPr>
          <w:rFonts w:hint="eastAsia" w:asciiTheme="minorEastAsia" w:hAnsiTheme="minorEastAsia" w:eastAsiaTheme="minorEastAsia"/>
          <w:sz w:val="32"/>
          <w:szCs w:val="32"/>
          <w:lang w:val="en-US" w:eastAsia="zh-CN"/>
        </w:rPr>
        <w:t>51.12万元，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26.01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社会保障和就业（类）支出</w:t>
      </w:r>
      <w:r>
        <w:rPr>
          <w:rFonts w:hint="eastAsia" w:asciiTheme="minorEastAsia" w:hAnsiTheme="minorEastAsia" w:eastAsiaTheme="minorEastAsia"/>
          <w:sz w:val="32"/>
          <w:szCs w:val="32"/>
          <w:lang w:val="en-US" w:eastAsia="zh-CN"/>
        </w:rPr>
        <w:t>16.17万元，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8.23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卫生健康（类）支出</w:t>
      </w:r>
      <w:r>
        <w:rPr>
          <w:rFonts w:hint="eastAsia" w:asciiTheme="minorEastAsia" w:hAnsiTheme="minorEastAsia" w:eastAsiaTheme="minorEastAsia"/>
          <w:sz w:val="32"/>
          <w:szCs w:val="32"/>
          <w:lang w:val="en-US" w:eastAsia="zh-CN"/>
        </w:rPr>
        <w:t>4.15万元，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2.11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资源勘探工业信息等（类）支出</w:t>
      </w:r>
      <w:r>
        <w:rPr>
          <w:rFonts w:hint="eastAsia" w:asciiTheme="minorEastAsia" w:hAnsiTheme="minorEastAsia" w:eastAsiaTheme="minorEastAsia"/>
          <w:sz w:val="32"/>
          <w:szCs w:val="32"/>
          <w:lang w:val="en-US" w:eastAsia="zh-CN"/>
        </w:rPr>
        <w:t>4.26万元，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2.17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住房保障（类）支出</w:t>
      </w:r>
      <w:r>
        <w:rPr>
          <w:rFonts w:hint="eastAsia" w:asciiTheme="minorEastAsia" w:hAnsiTheme="minorEastAsia" w:eastAsiaTheme="minorEastAsia"/>
          <w:sz w:val="32"/>
          <w:szCs w:val="32"/>
          <w:lang w:val="en-US" w:eastAsia="zh-CN"/>
        </w:rPr>
        <w:t>7.12万元，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3.62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117.70</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196.54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166.98</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教育</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职业教育</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其他职业教育支出</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93.09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113.71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122.15</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2020年年初单位机构改革，单位人员数增加，支出也增加。</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科学技术</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技术研究与开发</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其他技术研究与开发支出</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51.12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51.12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社会保障和就业（类）行政事业单位养老支出（款）事业单位离退休（项）与机关事业单位基本养老保险缴费支出（项）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年初预算15.49万元，</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16.17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104.38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2020年年初单位机构改革，单位人员数增加，支出也增加。</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4、卫生健康（类）行政事业单位医疗（款）事业单位医疗（项）</w:t>
      </w:r>
    </w:p>
    <w:p>
      <w:pPr>
        <w:pStyle w:val="9"/>
        <w:numPr>
          <w:ilvl w:val="0"/>
          <w:numId w:val="0"/>
        </w:numPr>
        <w:ind w:firstLine="960" w:firstLineChars="3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年初预算0万元，</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4.15</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年初预算数填在了社会保障和就业（类），</w:t>
      </w:r>
      <w:r>
        <w:rPr>
          <w:rFonts w:hint="eastAsia" w:asciiTheme="minorEastAsia" w:hAnsiTheme="minorEastAsia" w:eastAsiaTheme="minorEastAsia"/>
          <w:sz w:val="32"/>
          <w:szCs w:val="32"/>
          <w:lang w:val="en-US" w:eastAsia="zh-CN"/>
        </w:rPr>
        <w:t>2020年年初单位机构改革，单位人员数增加，支出也增加。</w:t>
      </w:r>
    </w:p>
    <w:p>
      <w:pPr>
        <w:pStyle w:val="9"/>
        <w:numPr>
          <w:ilvl w:val="0"/>
          <w:numId w:val="0"/>
        </w:numPr>
        <w:ind w:leftChars="250" w:firstLine="320" w:firstLineChars="1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lang w:eastAsia="zh-CN"/>
        </w:rPr>
        <w:t>资源勘探工业信息等（类）支持中小企业发展和管理（款）中小企业发展专项（项）</w:t>
      </w:r>
    </w:p>
    <w:p>
      <w:pPr>
        <w:pStyle w:val="9"/>
        <w:numPr>
          <w:ilvl w:val="0"/>
          <w:numId w:val="0"/>
        </w:numPr>
        <w:ind w:firstLine="960" w:firstLineChars="3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年初预算0万元，</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4.26</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该资金为</w:t>
      </w:r>
      <w:r>
        <w:rPr>
          <w:rFonts w:hint="eastAsia" w:asciiTheme="minorEastAsia" w:hAnsiTheme="minorEastAsia" w:eastAsiaTheme="minorEastAsia"/>
          <w:sz w:val="32"/>
          <w:szCs w:val="32"/>
          <w:lang w:val="en-US" w:eastAsia="zh-CN"/>
        </w:rPr>
        <w:t>2019年创客大赛上级奖补资金未使用完的余额，2020年用于单位经费开支。</w:t>
      </w:r>
    </w:p>
    <w:p>
      <w:pPr>
        <w:pStyle w:val="9"/>
        <w:numPr>
          <w:ilvl w:val="0"/>
          <w:numId w:val="0"/>
        </w:numPr>
        <w:ind w:firstLine="960" w:firstLineChars="3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6、住房保障（类）住房改革（款）住房公积金（项）</w:t>
      </w:r>
    </w:p>
    <w:p>
      <w:pPr>
        <w:pStyle w:val="9"/>
        <w:numPr>
          <w:ilvl w:val="0"/>
          <w:numId w:val="0"/>
        </w:numPr>
        <w:ind w:left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年初预算9.12万元，</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7.12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78.07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val="en-US" w:eastAsia="zh-CN"/>
        </w:rPr>
        <w:t>单位用创客大赛上级奖补资金缴纳部分住房公积金</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141.16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120.19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85.15</w:t>
      </w:r>
      <w:r>
        <w:rPr>
          <w:rFonts w:hint="eastAsia" w:asciiTheme="minorEastAsia" w:hAnsiTheme="minorEastAsia" w:eastAsiaTheme="minorEastAsia"/>
          <w:sz w:val="32"/>
          <w:szCs w:val="32"/>
        </w:rPr>
        <w:t>%,主要包括基本工资、津贴补贴、</w:t>
      </w:r>
      <w:r>
        <w:rPr>
          <w:rFonts w:hint="eastAsia" w:asciiTheme="minorEastAsia" w:hAnsiTheme="minorEastAsia" w:eastAsiaTheme="minorEastAsia"/>
          <w:sz w:val="32"/>
          <w:szCs w:val="32"/>
          <w:lang w:eastAsia="zh-CN"/>
        </w:rPr>
        <w:t>绩效工资、机关事业单位基本养老保险缴费、奖励金等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20.96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14.85</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eastAsia="zh-CN"/>
        </w:rPr>
        <w:t>差旅费、福利费、其他商品和服务支出等</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0.35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0.35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0.35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0.35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济南市工信和信息化局赴湘西州扶贫协作交流</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p>
    <w:p>
      <w:pPr>
        <w:pStyle w:val="9"/>
        <w:rPr>
          <w:rFonts w:hint="eastAsia" w:asciiTheme="minorEastAsia" w:hAnsiTheme="minorEastAsia" w:eastAsiaTheme="minorEastAsia"/>
          <w:sz w:val="32"/>
          <w:szCs w:val="32"/>
          <w:lang w:val="en-US" w:eastAsia="zh-CN"/>
        </w:rPr>
      </w:pPr>
      <w:r>
        <w:rPr>
          <w:rFonts w:hint="eastAsia" w:hAnsi="黑体"/>
          <w:b/>
          <w:sz w:val="32"/>
          <w:szCs w:val="32"/>
        </w:rPr>
        <w:t>八、政府性基金预算收入支出决算情况</w:t>
      </w:r>
    </w:p>
    <w:p>
      <w:pPr>
        <w:pStyle w:val="9"/>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i w:val="0"/>
          <w:iCs/>
          <w:color w:val="000000" w:themeColor="text1"/>
          <w:sz w:val="32"/>
          <w:szCs w:val="32"/>
          <w14:textFill>
            <w14:solidFill>
              <w14:schemeClr w14:val="tx1"/>
            </w14:solidFill>
          </w14:textFill>
        </w:rPr>
        <w:t>本单位</w:t>
      </w:r>
      <w:r>
        <w:rPr>
          <w:rFonts w:hint="eastAsia" w:asciiTheme="minorEastAsia" w:hAnsiTheme="minorEastAsia" w:eastAsiaTheme="minorEastAsia"/>
          <w:i w:val="0"/>
          <w:iCs/>
          <w:color w:val="000000" w:themeColor="text1"/>
          <w:sz w:val="32"/>
          <w:szCs w:val="32"/>
          <w:lang w:val="en-US" w:eastAsia="zh-CN"/>
          <w14:textFill>
            <w14:solidFill>
              <w14:schemeClr w14:val="tx1"/>
            </w14:solidFill>
          </w14:textFill>
        </w:rPr>
        <w:t>2020年度</w:t>
      </w:r>
      <w:r>
        <w:rPr>
          <w:rFonts w:hint="eastAsia" w:asciiTheme="minorEastAsia" w:hAnsiTheme="minorEastAsia" w:eastAsiaTheme="minorEastAsia"/>
          <w:i w:val="0"/>
          <w:iCs/>
          <w:color w:val="000000" w:themeColor="text1"/>
          <w:sz w:val="32"/>
          <w:szCs w:val="32"/>
          <w14:textFill>
            <w14:solidFill>
              <w14:schemeClr w14:val="tx1"/>
            </w14:solidFill>
          </w14:textFill>
        </w:rPr>
        <w:t>无政府性基金收支</w:t>
      </w:r>
    </w:p>
    <w:p>
      <w:pPr>
        <w:pStyle w:val="9"/>
        <w:numPr>
          <w:ilvl w:val="0"/>
          <w:numId w:val="0"/>
        </w:numPr>
        <w:spacing w:line="500" w:lineRule="exact"/>
        <w:rPr>
          <w:rFonts w:hint="eastAsia" w:hAnsi="黑体" w:cs="黑体"/>
          <w:sz w:val="32"/>
          <w:szCs w:val="32"/>
          <w:lang w:val="en-US" w:eastAsia="zh-CN"/>
        </w:rPr>
      </w:pPr>
      <w:r>
        <w:rPr>
          <w:rFonts w:hint="eastAsia" w:hAnsi="黑体" w:cs="黑体"/>
          <w:sz w:val="32"/>
          <w:szCs w:val="32"/>
          <w:lang w:val="en-US" w:eastAsia="zh-CN"/>
        </w:rPr>
        <w:t>九、</w:t>
      </w:r>
      <w:r>
        <w:rPr>
          <w:rFonts w:hint="eastAsia" w:ascii="黑体" w:hAnsi="黑体" w:eastAsia="黑体" w:cs="黑体"/>
          <w:sz w:val="32"/>
          <w:szCs w:val="32"/>
        </w:rPr>
        <w:t>国有资本经营预算支出决算</w:t>
      </w:r>
      <w:r>
        <w:rPr>
          <w:rFonts w:hint="eastAsia" w:hAnsi="黑体" w:cs="黑体"/>
          <w:sz w:val="32"/>
          <w:szCs w:val="32"/>
          <w:lang w:val="en-US" w:eastAsia="zh-CN"/>
        </w:rPr>
        <w:t>情况</w:t>
      </w:r>
    </w:p>
    <w:p>
      <w:pPr>
        <w:pStyle w:val="9"/>
        <w:ind w:firstLine="640"/>
        <w:rPr>
          <w:rFonts w:hint="eastAsia" w:asciiTheme="minorEastAsia" w:hAnsiTheme="minorEastAsia" w:eastAsiaTheme="minorEastAsia"/>
          <w:i/>
          <w:color w:val="FF0000"/>
          <w:sz w:val="32"/>
          <w:szCs w:val="32"/>
        </w:rPr>
      </w:pPr>
      <w:r>
        <w:rPr>
          <w:rFonts w:hint="eastAsia" w:asciiTheme="minorEastAsia" w:hAnsiTheme="minorEastAsia" w:eastAsiaTheme="minorEastAsia"/>
          <w:i w:val="0"/>
          <w:iCs/>
          <w:color w:val="000000" w:themeColor="text1"/>
          <w:sz w:val="32"/>
          <w:szCs w:val="32"/>
          <w14:textFill>
            <w14:solidFill>
              <w14:schemeClr w14:val="tx1"/>
            </w14:solidFill>
          </w14:textFill>
        </w:rPr>
        <w:t>本单位</w:t>
      </w:r>
      <w:r>
        <w:rPr>
          <w:rFonts w:hint="eastAsia" w:asciiTheme="minorEastAsia" w:hAnsiTheme="minorEastAsia" w:eastAsiaTheme="minorEastAsia"/>
          <w:i w:val="0"/>
          <w:iCs/>
          <w:color w:val="000000" w:themeColor="text1"/>
          <w:sz w:val="32"/>
          <w:szCs w:val="32"/>
          <w:lang w:val="en-US" w:eastAsia="zh-CN"/>
          <w14:textFill>
            <w14:solidFill>
              <w14:schemeClr w14:val="tx1"/>
            </w14:solidFill>
          </w14:textFill>
        </w:rPr>
        <w:t>2020年度</w:t>
      </w:r>
      <w:r>
        <w:rPr>
          <w:rFonts w:hint="eastAsia" w:asciiTheme="minorEastAsia" w:hAnsiTheme="minorEastAsia" w:eastAsiaTheme="minorEastAsia"/>
          <w:i w:val="0"/>
          <w:iCs/>
          <w:color w:val="000000" w:themeColor="text1"/>
          <w:sz w:val="32"/>
          <w:szCs w:val="32"/>
          <w14:textFill>
            <w14:solidFill>
              <w14:schemeClr w14:val="tx1"/>
            </w14:solidFill>
          </w14:textFill>
        </w:rPr>
        <w:t>无</w:t>
      </w:r>
      <w:r>
        <w:rPr>
          <w:rFonts w:hint="eastAsia" w:asciiTheme="minorEastAsia" w:hAnsiTheme="minorEastAsia" w:eastAsiaTheme="minorEastAsia"/>
          <w:i w:val="0"/>
          <w:iCs/>
          <w:color w:val="000000" w:themeColor="text1"/>
          <w:sz w:val="32"/>
          <w:szCs w:val="32"/>
          <w:lang w:val="en-US" w:eastAsia="zh-CN"/>
          <w14:textFill>
            <w14:solidFill>
              <w14:schemeClr w14:val="tx1"/>
            </w14:solidFill>
          </w14:textFill>
        </w:rPr>
        <w:t>国有资本经营</w:t>
      </w:r>
      <w:r>
        <w:rPr>
          <w:rFonts w:hint="eastAsia" w:asciiTheme="minorEastAsia" w:hAnsiTheme="minorEastAsia" w:eastAsiaTheme="minorEastAsia"/>
          <w:i w:val="0"/>
          <w:iCs/>
          <w:color w:val="000000" w:themeColor="text1"/>
          <w:sz w:val="32"/>
          <w:szCs w:val="32"/>
          <w14:textFill>
            <w14:solidFill>
              <w14:schemeClr w14:val="tx1"/>
            </w14:solidFill>
          </w14:textFill>
        </w:rPr>
        <w:t>收支</w:t>
      </w:r>
    </w:p>
    <w:p>
      <w:pPr>
        <w:pStyle w:val="9"/>
        <w:rPr>
          <w:rFonts w:hAnsi="黑体"/>
          <w:b/>
          <w:sz w:val="32"/>
          <w:szCs w:val="32"/>
        </w:rPr>
      </w:pPr>
      <w:r>
        <w:rPr>
          <w:rFonts w:hint="eastAsia" w:ascii="黑体" w:hAnsi="黑体" w:eastAsia="黑体" w:cs="黑体"/>
          <w:i w:val="0"/>
          <w:iCs/>
          <w:color w:val="000000" w:themeColor="text1"/>
          <w:sz w:val="32"/>
          <w:szCs w:val="32"/>
          <w:lang w:val="en-US" w:eastAsia="zh-CN"/>
          <w14:textFill>
            <w14:solidFill>
              <w14:schemeClr w14:val="tx1"/>
            </w14:solidFill>
          </w14:textFill>
        </w:rPr>
        <w:t>十、</w:t>
      </w:r>
      <w:r>
        <w:rPr>
          <w:rFonts w:hint="eastAsia" w:hAnsi="黑体"/>
          <w:b/>
          <w:sz w:val="32"/>
          <w:szCs w:val="32"/>
        </w:rPr>
        <w:t>关于2020年度预算绩效情况的说明</w:t>
      </w:r>
    </w:p>
    <w:p>
      <w:pPr>
        <w:pStyle w:val="9"/>
        <w:ind w:firstLine="640" w:firstLineChars="200"/>
        <w:rPr>
          <w:rFonts w:hint="eastAsia" w:asciiTheme="minorEastAsia" w:hAnsiTheme="minorEastAsia" w:eastAsiaTheme="minorEastAsia" w:cstheme="minorEastAsia"/>
          <w:b w:val="0"/>
          <w:bCs w:val="0"/>
          <w:i w:val="0"/>
          <w:i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val="0"/>
          <w:i w:val="0"/>
          <w:iCs/>
          <w:color w:val="000000" w:themeColor="text1"/>
          <w:sz w:val="32"/>
          <w:szCs w:val="32"/>
          <w:lang w:val="en-US" w:eastAsia="zh-CN"/>
          <w14:textFill>
            <w14:solidFill>
              <w14:schemeClr w14:val="tx1"/>
            </w14:solidFill>
          </w14:textFill>
        </w:rPr>
        <w:t>无</w:t>
      </w:r>
    </w:p>
    <w:p>
      <w:pPr>
        <w:pStyle w:val="9"/>
        <w:rPr>
          <w:rFonts w:hint="default" w:ascii="黑体" w:hAnsi="黑体" w:eastAsia="黑体" w:cs="黑体"/>
          <w:b/>
          <w:bCs/>
          <w:i w:val="0"/>
          <w:iCs/>
          <w:color w:val="000000" w:themeColor="text1"/>
          <w:sz w:val="32"/>
          <w:szCs w:val="32"/>
          <w:lang w:val="en-US" w:eastAsia="zh-CN"/>
          <w14:textFill>
            <w14:solidFill>
              <w14:schemeClr w14:val="tx1"/>
            </w14:solidFill>
          </w14:textFill>
        </w:rPr>
      </w:pPr>
      <w:r>
        <w:rPr>
          <w:rFonts w:hint="eastAsia" w:ascii="黑体" w:hAnsi="黑体" w:eastAsia="黑体" w:cs="黑体"/>
          <w:b/>
          <w:bCs/>
          <w:i w:val="0"/>
          <w:iCs/>
          <w:color w:val="000000" w:themeColor="text1"/>
          <w:sz w:val="32"/>
          <w:szCs w:val="32"/>
          <w:lang w:val="en-US" w:eastAsia="zh-CN"/>
          <w14:textFill>
            <w14:solidFill>
              <w14:schemeClr w14:val="tx1"/>
            </w14:solidFill>
          </w14:textFill>
        </w:rPr>
        <w:t>十一、</w:t>
      </w:r>
      <w:r>
        <w:rPr>
          <w:rFonts w:hint="eastAsia" w:hAnsi="黑体" w:cs="黑体"/>
          <w:b/>
          <w:bCs/>
          <w:i w:val="0"/>
          <w:iCs/>
          <w:color w:val="000000" w:themeColor="text1"/>
          <w:sz w:val="32"/>
          <w:szCs w:val="32"/>
          <w:lang w:val="en-US" w:eastAsia="zh-CN"/>
          <w14:textFill>
            <w14:solidFill>
              <w14:schemeClr w14:val="tx1"/>
            </w14:solidFill>
          </w14:textFill>
        </w:rPr>
        <w:t>其他重要事项情况说明</w:t>
      </w:r>
    </w:p>
    <w:p>
      <w:pPr>
        <w:pStyle w:val="9"/>
        <w:rPr>
          <w:rFonts w:hint="eastAsia" w:hAnsi="黑体" w:eastAsia="黑体"/>
          <w:b/>
          <w:sz w:val="32"/>
          <w:szCs w:val="32"/>
          <w:lang w:eastAsia="zh-CN"/>
        </w:rPr>
      </w:pPr>
      <w:r>
        <w:rPr>
          <w:rFonts w:hint="eastAsia" w:hAnsi="黑体"/>
          <w:b/>
          <w:sz w:val="32"/>
          <w:szCs w:val="32"/>
          <w:lang w:val="en-US" w:eastAsia="zh-CN"/>
        </w:rPr>
        <w:t xml:space="preserve">    （一）</w:t>
      </w:r>
      <w:r>
        <w:rPr>
          <w:rFonts w:hint="eastAsia" w:hAnsi="黑体"/>
          <w:b/>
          <w:sz w:val="32"/>
          <w:szCs w:val="32"/>
        </w:rPr>
        <w:t>关于机关运行经费支出</w:t>
      </w:r>
      <w:r>
        <w:rPr>
          <w:rFonts w:hint="eastAsia" w:hAnsi="黑体"/>
          <w:b/>
          <w:sz w:val="32"/>
          <w:szCs w:val="32"/>
          <w:lang w:val="en-US" w:eastAsia="zh-CN"/>
        </w:rPr>
        <w:t>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无</w:t>
      </w:r>
    </w:p>
    <w:p>
      <w:pPr>
        <w:pStyle w:val="9"/>
        <w:ind w:firstLine="640" w:firstLineChars="200"/>
        <w:rPr>
          <w:rFonts w:hAnsi="黑体"/>
          <w:b/>
          <w:sz w:val="32"/>
          <w:szCs w:val="32"/>
        </w:rPr>
      </w:pPr>
      <w:r>
        <w:rPr>
          <w:rFonts w:hint="eastAsia" w:hAnsi="黑体"/>
          <w:b/>
          <w:sz w:val="32"/>
          <w:szCs w:val="32"/>
          <w:lang w:eastAsia="zh-CN"/>
        </w:rPr>
        <w:t>（</w:t>
      </w:r>
      <w:r>
        <w:rPr>
          <w:rFonts w:hint="eastAsia" w:hAnsi="黑体"/>
          <w:b/>
          <w:sz w:val="32"/>
          <w:szCs w:val="32"/>
          <w:lang w:val="en-US" w:eastAsia="zh-CN"/>
        </w:rPr>
        <w:t>二</w:t>
      </w:r>
      <w:r>
        <w:rPr>
          <w:rFonts w:hint="eastAsia" w:hAnsi="黑体"/>
          <w:b/>
          <w:sz w:val="32"/>
          <w:szCs w:val="32"/>
          <w:lang w:eastAsia="zh-CN"/>
        </w:rPr>
        <w:t>）</w:t>
      </w:r>
      <w:r>
        <w:rPr>
          <w:rFonts w:hint="eastAsia" w:hAnsi="黑体"/>
          <w:b/>
          <w:sz w:val="32"/>
          <w:szCs w:val="32"/>
        </w:rPr>
        <w:t>一般性支出情况</w:t>
      </w:r>
    </w:p>
    <w:p>
      <w:pPr>
        <w:pStyle w:val="9"/>
        <w:ind w:firstLine="640" w:firstLineChars="200"/>
        <w:rPr>
          <w:rFonts w:hint="eastAsia" w:hAnsi="黑体"/>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无</w:t>
      </w:r>
      <w:r>
        <w:rPr>
          <w:rFonts w:hint="eastAsia" w:hAnsi="黑体"/>
          <w:b w:val="0"/>
          <w:bCs/>
          <w:sz w:val="32"/>
          <w:szCs w:val="32"/>
          <w:lang w:val="en-US" w:eastAsia="zh-CN"/>
        </w:rPr>
        <w:t xml:space="preserve">   </w:t>
      </w:r>
    </w:p>
    <w:p>
      <w:pPr>
        <w:pStyle w:val="9"/>
        <w:ind w:firstLine="640" w:firstLineChars="200"/>
        <w:rPr>
          <w:rFonts w:hint="eastAsia" w:hAnsi="黑体" w:eastAsia="黑体"/>
          <w:b/>
          <w:sz w:val="32"/>
          <w:szCs w:val="32"/>
          <w:lang w:eastAsia="zh-CN"/>
        </w:rPr>
      </w:pPr>
      <w:r>
        <w:rPr>
          <w:rFonts w:hint="eastAsia" w:hAnsi="黑体"/>
          <w:b/>
          <w:sz w:val="32"/>
          <w:szCs w:val="32"/>
          <w:lang w:val="en-US" w:eastAsia="zh-CN"/>
        </w:rPr>
        <w:t>（三）</w:t>
      </w:r>
      <w:r>
        <w:rPr>
          <w:rFonts w:hint="eastAsia" w:hAnsi="黑体"/>
          <w:b/>
          <w:sz w:val="32"/>
          <w:szCs w:val="32"/>
        </w:rPr>
        <w:t>政府采购支出</w:t>
      </w:r>
      <w:r>
        <w:rPr>
          <w:rFonts w:hint="eastAsia" w:hAnsi="黑体"/>
          <w:b/>
          <w:sz w:val="32"/>
          <w:szCs w:val="32"/>
          <w:lang w:val="en-US" w:eastAsia="zh-CN"/>
        </w:rPr>
        <w:t>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1.11</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1.11</w:t>
      </w:r>
      <w:r>
        <w:rPr>
          <w:rFonts w:hint="eastAsia" w:asciiTheme="minorEastAsia" w:hAnsiTheme="minorEastAsia" w:eastAsiaTheme="minorEastAsia"/>
          <w:sz w:val="32"/>
          <w:szCs w:val="32"/>
        </w:rPr>
        <w:t xml:space="preserve"> 万元</w:t>
      </w:r>
      <w:r>
        <w:rPr>
          <w:rFonts w:hint="eastAsia" w:asciiTheme="minorEastAsia" w:hAnsiTheme="minorEastAsia" w:eastAsiaTheme="minorEastAsia"/>
          <w:sz w:val="32"/>
          <w:szCs w:val="32"/>
          <w:lang w:eastAsia="zh-CN"/>
        </w:rPr>
        <w:t>。</w:t>
      </w:r>
    </w:p>
    <w:p>
      <w:pPr>
        <w:pStyle w:val="9"/>
        <w:ind w:firstLine="320" w:firstLineChars="100"/>
        <w:rPr>
          <w:rFonts w:hAnsi="黑体"/>
          <w:b/>
          <w:sz w:val="32"/>
          <w:szCs w:val="32"/>
        </w:rPr>
      </w:pPr>
      <w:r>
        <w:rPr>
          <w:rFonts w:hint="eastAsia" w:hAnsi="黑体"/>
          <w:b/>
          <w:sz w:val="32"/>
          <w:szCs w:val="32"/>
          <w:lang w:eastAsia="zh-CN"/>
        </w:rPr>
        <w:t>（</w:t>
      </w:r>
      <w:r>
        <w:rPr>
          <w:rFonts w:hint="eastAsia" w:hAnsi="黑体"/>
          <w:b/>
          <w:sz w:val="32"/>
          <w:szCs w:val="32"/>
          <w:lang w:val="en-US" w:eastAsia="zh-CN"/>
        </w:rPr>
        <w:t>四</w:t>
      </w:r>
      <w:r>
        <w:rPr>
          <w:rFonts w:hint="eastAsia" w:hAnsi="黑体"/>
          <w:b/>
          <w:sz w:val="32"/>
          <w:szCs w:val="32"/>
          <w:lang w:eastAsia="zh-CN"/>
        </w:rPr>
        <w:t>）</w:t>
      </w:r>
      <w:r>
        <w:rPr>
          <w:rFonts w:hint="eastAsia" w:hAnsi="黑体"/>
          <w:b/>
          <w:sz w:val="32"/>
          <w:szCs w:val="32"/>
        </w:rPr>
        <w:t>国有资产占用情况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w:t>
      </w:r>
      <w:r>
        <w:rPr>
          <w:rFonts w:hint="eastAsia" w:asciiTheme="minorEastAsia" w:hAnsiTheme="minorEastAsia" w:eastAsiaTheme="minorEastAsia"/>
          <w:sz w:val="32"/>
          <w:szCs w:val="32"/>
          <w:lang w:eastAsia="zh-CN"/>
        </w:rPr>
        <w:t>无车辆</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1批</w:t>
      </w:r>
      <w:r>
        <w:rPr>
          <w:rFonts w:hint="eastAsia" w:asciiTheme="minorEastAsia" w:hAnsiTheme="minorEastAsia" w:eastAsiaTheme="minorEastAsia"/>
          <w:sz w:val="32"/>
          <w:szCs w:val="32"/>
          <w:lang w:eastAsia="zh-CN"/>
        </w:rPr>
        <w:t>（多媒体设备）</w:t>
      </w:r>
      <w:r>
        <w:rPr>
          <w:rFonts w:hint="eastAsia" w:asciiTheme="minorEastAsia" w:hAnsiTheme="minorEastAsia" w:eastAsiaTheme="minorEastAsia"/>
          <w:sz w:val="32"/>
          <w:szCs w:val="32"/>
        </w:rPr>
        <w:t>。</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9"/>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一、财政拨款收入：指财政当年拨付的资金事业收入。</w:t>
      </w:r>
    </w:p>
    <w:p>
      <w:pPr>
        <w:pStyle w:val="9"/>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二、年初结转和结余：指以前年度尚未完成、结转到本年按有关规定继续使用的资金。</w:t>
      </w:r>
    </w:p>
    <w:p>
      <w:pPr>
        <w:pStyle w:val="9"/>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三、年末结转和结余：指本年度或以前年度预算安排、因客观条件发生变化无法按原计划实施，需要延迟到以后年度按有关规定继续使用的资金。</w:t>
      </w:r>
    </w:p>
    <w:p>
      <w:pPr>
        <w:pStyle w:val="9"/>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四、基本支出：指为保障机构正常运转、完成日常工作任务面发生的人员支出和公用支出。</w:t>
      </w:r>
    </w:p>
    <w:p>
      <w:pPr>
        <w:pStyle w:val="9"/>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五、项目支出：指在基本支出这外为完成特定行政任务和事业发展目标所发生的支出。</w:t>
      </w:r>
    </w:p>
    <w:p>
      <w:pPr>
        <w:pStyle w:val="9"/>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六、“三公”经费：按照党中央、国务院有关文件及部门预算管理有关规定，“三公”经费包括因公出国（境）费、公务用车购置及运行费和公务接待费。（1）因公出国（境）费 反映单位公务出国（境）的国际旅费、国外城市间交通费、住 宿费、伙食费、培训费、公杂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pStyle w:val="9"/>
        <w:ind w:firstLine="560" w:firstLineChars="200"/>
        <w:rPr>
          <w:rFonts w:cs="黑体" w:asciiTheme="minorEastAsia" w:hAnsiTheme="minorEastAsia"/>
          <w:color w:val="000000"/>
          <w:kern w:val="0"/>
          <w:sz w:val="32"/>
          <w:szCs w:val="32"/>
        </w:rPr>
      </w:pPr>
      <w:r>
        <w:rPr>
          <w:rFonts w:hint="eastAsia" w:asciiTheme="minorEastAsia" w:hAnsiTheme="minorEastAsia" w:eastAsiaTheme="minorEastAsia"/>
          <w:sz w:val="28"/>
          <w:szCs w:val="28"/>
        </w:rPr>
        <w:t>七、机关运行经费：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222933"/>
    <w:multiLevelType w:val="singleLevel"/>
    <w:tmpl w:val="F3222933"/>
    <w:lvl w:ilvl="0" w:tentative="0">
      <w:start w:val="3"/>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484042E"/>
    <w:rsid w:val="08D4046D"/>
    <w:rsid w:val="097A21EA"/>
    <w:rsid w:val="0E225947"/>
    <w:rsid w:val="0F160189"/>
    <w:rsid w:val="10A33F1C"/>
    <w:rsid w:val="1320246E"/>
    <w:rsid w:val="169F61B8"/>
    <w:rsid w:val="1B6C2620"/>
    <w:rsid w:val="1B9C2EFA"/>
    <w:rsid w:val="1FB82790"/>
    <w:rsid w:val="21667506"/>
    <w:rsid w:val="27C5241D"/>
    <w:rsid w:val="2BB641AA"/>
    <w:rsid w:val="2BC47531"/>
    <w:rsid w:val="2F7A0132"/>
    <w:rsid w:val="3006150D"/>
    <w:rsid w:val="315E13BE"/>
    <w:rsid w:val="336D2B59"/>
    <w:rsid w:val="36C43678"/>
    <w:rsid w:val="38130EAA"/>
    <w:rsid w:val="389B2554"/>
    <w:rsid w:val="3AA479D8"/>
    <w:rsid w:val="43340846"/>
    <w:rsid w:val="4846111B"/>
    <w:rsid w:val="4878304A"/>
    <w:rsid w:val="4EEB5A0E"/>
    <w:rsid w:val="50155F99"/>
    <w:rsid w:val="50F11007"/>
    <w:rsid w:val="54723614"/>
    <w:rsid w:val="54A06464"/>
    <w:rsid w:val="573811C9"/>
    <w:rsid w:val="58494F71"/>
    <w:rsid w:val="5A7A2A92"/>
    <w:rsid w:val="5B607F70"/>
    <w:rsid w:val="5C4208CA"/>
    <w:rsid w:val="5E4C21E8"/>
    <w:rsid w:val="61B2008F"/>
    <w:rsid w:val="6239263B"/>
    <w:rsid w:val="62E466C9"/>
    <w:rsid w:val="634B5AD7"/>
    <w:rsid w:val="63B1089F"/>
    <w:rsid w:val="64D929D0"/>
    <w:rsid w:val="682E7BB6"/>
    <w:rsid w:val="68B40E4E"/>
    <w:rsid w:val="6E1C4E94"/>
    <w:rsid w:val="6F14725D"/>
    <w:rsid w:val="6F2D47DB"/>
    <w:rsid w:val="7297598D"/>
    <w:rsid w:val="7D645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5</TotalTime>
  <ScaleCrop>false</ScaleCrop>
  <LinksUpToDate>false</LinksUpToDate>
  <CharactersWithSpaces>8753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cp:lastModifiedBy>
  <cp:lastPrinted>2021-09-16T08:21:00Z</cp:lastPrinted>
  <dcterms:modified xsi:type="dcterms:W3CDTF">2012-12-31T16:15:55Z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755B252EC050429D98CC7F84BF882982</vt:lpwstr>
  </property>
</Properties>
</file>