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rPr>
          <w:rFonts w:eastAsia="黑体"/>
          <w:color w:val="auto"/>
          <w:sz w:val="32"/>
          <w:szCs w:val="32"/>
          <w:highlight w:val="none"/>
        </w:rPr>
      </w:pPr>
    </w:p>
    <w:p>
      <w:pPr>
        <w:jc w:val="center"/>
        <w:rPr>
          <w:rFonts w:ascii="方正小标宋简体" w:hAnsi="方正小标宋简体" w:eastAsia="方正小标宋简体" w:cs="方正小标宋简体"/>
          <w:b/>
          <w:bCs/>
          <w:color w:val="auto"/>
          <w:sz w:val="48"/>
          <w:szCs w:val="48"/>
          <w:highlight w:val="none"/>
        </w:rPr>
      </w:pPr>
      <w:r>
        <w:rPr>
          <w:rFonts w:hint="eastAsia" w:ascii="方正小标宋简体" w:hAnsi="方正小标宋简体" w:eastAsia="方正小标宋简体" w:cs="方正小标宋简体"/>
          <w:b/>
          <w:bCs/>
          <w:color w:val="auto"/>
          <w:sz w:val="48"/>
          <w:szCs w:val="48"/>
          <w:highlight w:val="none"/>
        </w:rPr>
        <w:t xml:space="preserve"> 湘西土家族苗族自治州</w:t>
      </w:r>
      <w:bookmarkStart w:id="0" w:name="_Hlk74171254"/>
      <w:r>
        <w:rPr>
          <w:rFonts w:hint="eastAsia" w:ascii="方正小标宋简体" w:hAnsi="方正小标宋简体" w:eastAsia="方正小标宋简体" w:cs="方正小标宋简体"/>
          <w:b/>
          <w:bCs/>
          <w:color w:val="auto"/>
          <w:sz w:val="48"/>
          <w:szCs w:val="48"/>
          <w:highlight w:val="none"/>
        </w:rPr>
        <w:t>工业和信息化局</w:t>
      </w:r>
      <w:bookmarkEnd w:id="0"/>
    </w:p>
    <w:p>
      <w:pPr>
        <w:jc w:val="center"/>
        <w:rPr>
          <w:rFonts w:ascii="方正小标宋简体" w:hAnsi="方正小标宋简体" w:eastAsia="方正小标宋简体" w:cs="方正小标宋简体"/>
          <w:b/>
          <w:bCs/>
          <w:color w:val="auto"/>
          <w:sz w:val="48"/>
          <w:szCs w:val="48"/>
          <w:highlight w:val="none"/>
        </w:rPr>
      </w:pPr>
      <w:r>
        <w:rPr>
          <w:rFonts w:hint="eastAsia" w:ascii="方正小标宋简体" w:hAnsi="方正小标宋简体" w:eastAsia="方正小标宋简体" w:cs="方正小标宋简体"/>
          <w:b/>
          <w:bCs/>
          <w:color w:val="auto"/>
          <w:sz w:val="48"/>
          <w:szCs w:val="48"/>
          <w:highlight w:val="none"/>
        </w:rPr>
        <w:t>202</w:t>
      </w:r>
      <w:r>
        <w:rPr>
          <w:rFonts w:hint="eastAsia" w:ascii="方正小标宋简体" w:hAnsi="方正小标宋简体" w:eastAsia="方正小标宋简体" w:cs="方正小标宋简体"/>
          <w:b/>
          <w:bCs/>
          <w:color w:val="auto"/>
          <w:sz w:val="48"/>
          <w:szCs w:val="48"/>
          <w:highlight w:val="none"/>
          <w:lang w:val="en-US" w:eastAsia="zh-CN"/>
        </w:rPr>
        <w:t>1</w:t>
      </w:r>
      <w:r>
        <w:rPr>
          <w:rFonts w:hint="eastAsia" w:ascii="方正小标宋简体" w:hAnsi="方正小标宋简体" w:eastAsia="方正小标宋简体" w:cs="方正小标宋简体"/>
          <w:b/>
          <w:bCs/>
          <w:color w:val="auto"/>
          <w:sz w:val="48"/>
          <w:szCs w:val="48"/>
          <w:highlight w:val="none"/>
        </w:rPr>
        <w:t>年度部门整体支出绩效自评报告</w:t>
      </w:r>
    </w:p>
    <w:p>
      <w:pPr>
        <w:jc w:val="center"/>
        <w:rPr>
          <w:rFonts w:eastAsia="黑体"/>
          <w:color w:val="auto"/>
          <w:sz w:val="32"/>
          <w:szCs w:val="32"/>
          <w:highlight w:val="none"/>
        </w:rPr>
      </w:pPr>
    </w:p>
    <w:p>
      <w:pPr>
        <w:jc w:val="center"/>
        <w:rPr>
          <w:rFonts w:eastAsia="黑体"/>
          <w:color w:val="auto"/>
          <w:sz w:val="32"/>
          <w:szCs w:val="32"/>
          <w:highlight w:val="none"/>
        </w:rPr>
      </w:pPr>
    </w:p>
    <w:p>
      <w:pPr>
        <w:jc w:val="center"/>
        <w:rPr>
          <w:rFonts w:eastAsia="黑体"/>
          <w:color w:val="auto"/>
          <w:sz w:val="28"/>
          <w:szCs w:val="28"/>
          <w:highlight w:val="none"/>
        </w:rPr>
      </w:pPr>
    </w:p>
    <w:p>
      <w:pPr>
        <w:spacing w:line="600" w:lineRule="exact"/>
        <w:jc w:val="both"/>
        <w:rPr>
          <w:rFonts w:eastAsia="黑体"/>
          <w:color w:val="auto"/>
          <w:sz w:val="28"/>
          <w:szCs w:val="28"/>
          <w:highlight w:val="none"/>
        </w:rPr>
      </w:pPr>
    </w:p>
    <w:p>
      <w:pPr>
        <w:spacing w:line="600" w:lineRule="exact"/>
        <w:ind w:firstLine="1120" w:firstLineChars="400"/>
        <w:rPr>
          <w:rFonts w:eastAsia="黑体"/>
          <w:color w:val="auto"/>
          <w:sz w:val="28"/>
          <w:szCs w:val="28"/>
          <w:highlight w:val="none"/>
        </w:rPr>
      </w:pPr>
    </w:p>
    <w:p>
      <w:pPr>
        <w:spacing w:line="600" w:lineRule="exact"/>
        <w:ind w:firstLine="2380" w:firstLineChars="850"/>
        <w:rPr>
          <w:rFonts w:eastAsia="黑体"/>
          <w:color w:val="auto"/>
          <w:sz w:val="28"/>
          <w:szCs w:val="28"/>
          <w:highlight w:val="none"/>
        </w:rPr>
      </w:pPr>
      <w:r>
        <w:rPr>
          <w:rFonts w:hint="eastAsia" w:eastAsia="黑体"/>
          <w:color w:val="auto"/>
          <w:sz w:val="28"/>
          <w:szCs w:val="28"/>
          <w:highlight w:val="none"/>
        </w:rPr>
        <w:t>部门（</w:t>
      </w:r>
      <w:r>
        <w:rPr>
          <w:rFonts w:eastAsia="黑体"/>
          <w:color w:val="auto"/>
          <w:sz w:val="28"/>
          <w:szCs w:val="28"/>
          <w:highlight w:val="none"/>
        </w:rPr>
        <w:t>单位</w:t>
      </w:r>
      <w:r>
        <w:rPr>
          <w:rFonts w:hint="eastAsia" w:eastAsia="黑体"/>
          <w:color w:val="auto"/>
          <w:sz w:val="28"/>
          <w:szCs w:val="28"/>
          <w:highlight w:val="none"/>
        </w:rPr>
        <w:t>）</w:t>
      </w:r>
      <w:r>
        <w:rPr>
          <w:rFonts w:eastAsia="黑体"/>
          <w:color w:val="auto"/>
          <w:sz w:val="28"/>
          <w:szCs w:val="28"/>
          <w:highlight w:val="none"/>
        </w:rPr>
        <w:t>名称（盖章）：</w:t>
      </w:r>
    </w:p>
    <w:p>
      <w:pPr>
        <w:spacing w:line="600" w:lineRule="exact"/>
        <w:ind w:firstLine="2380" w:firstLineChars="850"/>
        <w:rPr>
          <w:rFonts w:eastAsia="黑体"/>
          <w:color w:val="auto"/>
          <w:sz w:val="28"/>
          <w:szCs w:val="28"/>
          <w:highlight w:val="none"/>
        </w:rPr>
      </w:pPr>
      <w:r>
        <w:rPr>
          <w:rFonts w:hint="eastAsia" w:eastAsia="黑体"/>
          <w:color w:val="auto"/>
          <w:sz w:val="28"/>
          <w:szCs w:val="28"/>
          <w:highlight w:val="none"/>
        </w:rPr>
        <w:t>预算编码：</w:t>
      </w:r>
      <w:r>
        <w:rPr>
          <w:rFonts w:hint="eastAsia" w:ascii="仿宋" w:hAnsi="仿宋" w:eastAsia="仿宋"/>
          <w:color w:val="auto"/>
          <w:spacing w:val="20"/>
          <w:sz w:val="28"/>
          <w:szCs w:val="28"/>
          <w:highlight w:val="none"/>
          <w:u w:val="single"/>
        </w:rPr>
        <w:t>601001</w:t>
      </w:r>
    </w:p>
    <w:p>
      <w:pPr>
        <w:spacing w:line="600" w:lineRule="exact"/>
        <w:jc w:val="center"/>
        <w:rPr>
          <w:rFonts w:eastAsia="黑体"/>
          <w:color w:val="auto"/>
          <w:sz w:val="28"/>
          <w:szCs w:val="28"/>
          <w:highlight w:val="none"/>
        </w:rPr>
      </w:pPr>
    </w:p>
    <w:p>
      <w:pPr>
        <w:spacing w:line="600" w:lineRule="exact"/>
        <w:ind w:firstLine="1293" w:firstLineChars="462"/>
        <w:jc w:val="left"/>
        <w:rPr>
          <w:rFonts w:eastAsia="仿宋_GB2312"/>
          <w:color w:val="auto"/>
          <w:sz w:val="28"/>
          <w:szCs w:val="28"/>
          <w:highlight w:val="none"/>
        </w:rPr>
      </w:pPr>
    </w:p>
    <w:p>
      <w:pPr>
        <w:spacing w:line="600" w:lineRule="exact"/>
        <w:ind w:firstLine="2380" w:firstLineChars="850"/>
        <w:rPr>
          <w:rFonts w:hint="eastAsia" w:eastAsia="黑体"/>
          <w:color w:val="auto"/>
          <w:sz w:val="28"/>
          <w:szCs w:val="28"/>
          <w:highlight w:val="none"/>
        </w:rPr>
      </w:pPr>
      <w:r>
        <w:rPr>
          <w:rFonts w:hint="eastAsia" w:eastAsia="黑体"/>
          <w:color w:val="auto"/>
          <w:sz w:val="28"/>
          <w:szCs w:val="28"/>
          <w:highlight w:val="none"/>
        </w:rPr>
        <w:t>评价方式：单位绩效自评</w:t>
      </w:r>
    </w:p>
    <w:p>
      <w:pPr>
        <w:spacing w:line="600" w:lineRule="exact"/>
        <w:ind w:firstLine="2380" w:firstLineChars="850"/>
        <w:rPr>
          <w:rFonts w:hint="eastAsia" w:eastAsia="黑体"/>
          <w:color w:val="auto"/>
          <w:sz w:val="28"/>
          <w:szCs w:val="28"/>
          <w:highlight w:val="none"/>
        </w:rPr>
      </w:pPr>
      <w:r>
        <w:rPr>
          <w:rFonts w:hint="eastAsia" w:eastAsia="黑体"/>
          <w:color w:val="auto"/>
          <w:sz w:val="28"/>
          <w:szCs w:val="28"/>
          <w:highlight w:val="none"/>
        </w:rPr>
        <w:t>评价机构：单位评价组</w:t>
      </w:r>
    </w:p>
    <w:p>
      <w:pPr>
        <w:rPr>
          <w:rFonts w:hint="eastAsia" w:eastAsia="仿宋_GB2312" w:cs="Arial"/>
          <w:color w:val="auto"/>
          <w:sz w:val="28"/>
          <w:szCs w:val="28"/>
          <w:highlight w:val="none"/>
        </w:rPr>
      </w:pPr>
    </w:p>
    <w:p>
      <w:pPr>
        <w:rPr>
          <w:rFonts w:hint="eastAsia" w:eastAsia="仿宋_GB2312" w:cs="Arial"/>
          <w:color w:val="auto"/>
          <w:sz w:val="28"/>
          <w:szCs w:val="28"/>
          <w:highlight w:val="none"/>
        </w:rPr>
      </w:pPr>
    </w:p>
    <w:p>
      <w:pPr>
        <w:spacing w:line="600" w:lineRule="exact"/>
        <w:ind w:firstLine="2380" w:firstLineChars="850"/>
        <w:rPr>
          <w:rFonts w:hint="eastAsia" w:eastAsia="黑体"/>
          <w:color w:val="auto"/>
          <w:sz w:val="28"/>
          <w:szCs w:val="28"/>
          <w:highlight w:val="none"/>
        </w:rPr>
      </w:pPr>
    </w:p>
    <w:p>
      <w:pPr>
        <w:spacing w:line="600" w:lineRule="exact"/>
        <w:ind w:firstLine="2380" w:firstLineChars="850"/>
        <w:rPr>
          <w:rFonts w:hint="eastAsia" w:eastAsia="黑体"/>
          <w:color w:val="auto"/>
          <w:sz w:val="28"/>
          <w:szCs w:val="28"/>
          <w:highlight w:val="none"/>
        </w:rPr>
      </w:pPr>
      <w:r>
        <w:rPr>
          <w:rFonts w:hint="eastAsia" w:eastAsia="黑体"/>
          <w:color w:val="auto"/>
          <w:sz w:val="28"/>
          <w:szCs w:val="28"/>
          <w:highlight w:val="none"/>
        </w:rPr>
        <w:t>报告时间：   202</w:t>
      </w:r>
      <w:r>
        <w:rPr>
          <w:rFonts w:hint="eastAsia" w:eastAsia="黑体"/>
          <w:color w:val="auto"/>
          <w:sz w:val="28"/>
          <w:szCs w:val="28"/>
          <w:highlight w:val="none"/>
          <w:lang w:val="en-US" w:eastAsia="zh-CN"/>
        </w:rPr>
        <w:t>2</w:t>
      </w:r>
      <w:r>
        <w:rPr>
          <w:rFonts w:hint="eastAsia" w:eastAsia="黑体"/>
          <w:color w:val="auto"/>
          <w:sz w:val="28"/>
          <w:szCs w:val="28"/>
          <w:highlight w:val="none"/>
        </w:rPr>
        <w:t xml:space="preserve">  年  6  月</w:t>
      </w:r>
    </w:p>
    <w:p>
      <w:pPr>
        <w:spacing w:line="600" w:lineRule="exact"/>
        <w:ind w:left="0" w:leftChars="0" w:firstLine="2100" w:firstLineChars="750"/>
        <w:jc w:val="both"/>
        <w:rPr>
          <w:rFonts w:hint="eastAsia" w:eastAsia="黑体"/>
          <w:color w:val="auto"/>
          <w:sz w:val="28"/>
          <w:szCs w:val="28"/>
          <w:highlight w:val="none"/>
        </w:rPr>
      </w:pPr>
    </w:p>
    <w:p>
      <w:pPr>
        <w:spacing w:line="600" w:lineRule="exact"/>
        <w:ind w:left="0" w:leftChars="0" w:firstLine="2100" w:firstLineChars="750"/>
        <w:jc w:val="both"/>
        <w:rPr>
          <w:rFonts w:hint="eastAsia" w:eastAsia="黑体"/>
          <w:color w:val="auto"/>
          <w:sz w:val="28"/>
          <w:szCs w:val="28"/>
          <w:highlight w:val="none"/>
        </w:rPr>
      </w:pPr>
    </w:p>
    <w:p>
      <w:pPr>
        <w:spacing w:line="600" w:lineRule="exact"/>
        <w:ind w:left="0" w:leftChars="0" w:firstLine="2100" w:firstLineChars="750"/>
        <w:jc w:val="both"/>
        <w:rPr>
          <w:rFonts w:hint="eastAsia" w:eastAsia="黑体"/>
          <w:color w:val="auto"/>
          <w:sz w:val="28"/>
          <w:szCs w:val="28"/>
          <w:highlight w:val="none"/>
        </w:rPr>
      </w:pPr>
    </w:p>
    <w:p>
      <w:pPr>
        <w:spacing w:line="600" w:lineRule="exact"/>
        <w:ind w:left="0" w:leftChars="0" w:firstLine="2100" w:firstLineChars="750"/>
        <w:jc w:val="both"/>
        <w:rPr>
          <w:rFonts w:hint="eastAsia" w:eastAsia="黑体"/>
          <w:color w:val="auto"/>
          <w:sz w:val="28"/>
          <w:szCs w:val="28"/>
          <w:highlight w:val="none"/>
        </w:rPr>
      </w:pPr>
    </w:p>
    <w:p>
      <w:pPr>
        <w:spacing w:line="600" w:lineRule="exact"/>
        <w:ind w:left="0" w:leftChars="0" w:firstLine="2100" w:firstLineChars="750"/>
        <w:jc w:val="both"/>
        <w:rPr>
          <w:rFonts w:hint="eastAsia" w:eastAsia="黑体"/>
          <w:color w:val="auto"/>
          <w:sz w:val="28"/>
          <w:szCs w:val="28"/>
          <w:highlight w:val="none"/>
        </w:rPr>
        <w:sectPr>
          <w:footerReference r:id="rId3" w:type="default"/>
          <w:pgSz w:w="11906" w:h="16838"/>
          <w:pgMar w:top="1440" w:right="1066" w:bottom="1440" w:left="1600" w:header="851" w:footer="992" w:gutter="0"/>
          <w:pgNumType w:start="1"/>
          <w:cols w:space="425" w:num="1"/>
          <w:docGrid w:type="lines" w:linePitch="312" w:charSpace="0"/>
        </w:sectPr>
      </w:pPr>
    </w:p>
    <w:tbl>
      <w:tblPr>
        <w:tblStyle w:val="8"/>
        <w:tblpPr w:leftFromText="180" w:rightFromText="180" w:vertAnchor="text" w:horzAnchor="page" w:tblpX="1493" w:tblpY="243"/>
        <w:tblOverlap w:val="never"/>
        <w:tblW w:w="928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
      <w:tblGrid>
        <w:gridCol w:w="1195"/>
        <w:gridCol w:w="176"/>
        <w:gridCol w:w="38"/>
        <w:gridCol w:w="1178"/>
        <w:gridCol w:w="70"/>
        <w:gridCol w:w="589"/>
        <w:gridCol w:w="448"/>
        <w:gridCol w:w="1097"/>
        <w:gridCol w:w="1373"/>
        <w:gridCol w:w="55"/>
        <w:gridCol w:w="199"/>
        <w:gridCol w:w="919"/>
        <w:gridCol w:w="76"/>
        <w:gridCol w:w="794"/>
        <w:gridCol w:w="107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221" w:hRule="atLeast"/>
          <w:jc w:val="center"/>
        </w:trPr>
        <w:tc>
          <w:tcPr>
            <w:tcW w:w="9280" w:type="dxa"/>
            <w:gridSpan w:val="15"/>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b/>
                <w:bCs/>
                <w:color w:val="auto"/>
                <w:sz w:val="20"/>
                <w:szCs w:val="20"/>
                <w:highlight w:val="none"/>
              </w:rPr>
              <w:t>一、部门（单位）基本概况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221" w:hRule="atLeast"/>
          <w:jc w:val="center"/>
        </w:trPr>
        <w:tc>
          <w:tcPr>
            <w:tcW w:w="1371" w:type="dxa"/>
            <w:gridSpan w:val="2"/>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联系人</w:t>
            </w:r>
          </w:p>
        </w:tc>
        <w:tc>
          <w:tcPr>
            <w:tcW w:w="3420" w:type="dxa"/>
            <w:gridSpan w:val="6"/>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杨琛</w:t>
            </w:r>
          </w:p>
        </w:tc>
        <w:tc>
          <w:tcPr>
            <w:tcW w:w="1428" w:type="dxa"/>
            <w:gridSpan w:val="2"/>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联系电话</w:t>
            </w:r>
          </w:p>
        </w:tc>
        <w:tc>
          <w:tcPr>
            <w:tcW w:w="3061" w:type="dxa"/>
            <w:gridSpan w:val="5"/>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0"/>
                <w:szCs w:val="20"/>
                <w:highlight w:val="none"/>
                <w:lang w:val="en-US" w:eastAsia="zh-CN"/>
              </w:rPr>
            </w:pPr>
            <w:r>
              <w:rPr>
                <w:rFonts w:hint="default" w:asciiTheme="minorEastAsia" w:hAnsiTheme="minorEastAsia" w:eastAsiaTheme="minorEastAsia" w:cstheme="minorEastAsia"/>
                <w:color w:val="auto"/>
                <w:sz w:val="20"/>
                <w:szCs w:val="20"/>
                <w:highlight w:val="none"/>
                <w:lang w:val="en-US" w:eastAsia="zh-CN"/>
              </w:rPr>
              <w:t>0743</w:t>
            </w:r>
            <w:r>
              <w:rPr>
                <w:rFonts w:hint="eastAsia" w:asciiTheme="minorEastAsia" w:hAnsiTheme="minorEastAsia" w:eastAsiaTheme="minorEastAsia" w:cstheme="minorEastAsia"/>
                <w:color w:val="auto"/>
                <w:sz w:val="20"/>
                <w:szCs w:val="20"/>
                <w:highlight w:val="none"/>
                <w:lang w:val="en-US" w:eastAsia="zh-CN"/>
              </w:rPr>
              <w:t>-8223316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221" w:hRule="atLeast"/>
          <w:jc w:val="center"/>
        </w:trPr>
        <w:tc>
          <w:tcPr>
            <w:tcW w:w="1371" w:type="dxa"/>
            <w:gridSpan w:val="2"/>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人员编制</w:t>
            </w:r>
          </w:p>
        </w:tc>
        <w:tc>
          <w:tcPr>
            <w:tcW w:w="3420" w:type="dxa"/>
            <w:gridSpan w:val="6"/>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lang w:val="en-US" w:eastAsia="zh-CN"/>
              </w:rPr>
              <w:t>87</w:t>
            </w:r>
          </w:p>
        </w:tc>
        <w:tc>
          <w:tcPr>
            <w:tcW w:w="1428" w:type="dxa"/>
            <w:gridSpan w:val="2"/>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实有人数</w:t>
            </w:r>
          </w:p>
        </w:tc>
        <w:tc>
          <w:tcPr>
            <w:tcW w:w="3061" w:type="dxa"/>
            <w:gridSpan w:val="5"/>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lang w:val="en-US" w:eastAsia="zh-CN"/>
              </w:rPr>
              <w:t>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2099" w:hRule="atLeast"/>
          <w:jc w:val="center"/>
        </w:trPr>
        <w:tc>
          <w:tcPr>
            <w:tcW w:w="1371" w:type="dxa"/>
            <w:gridSpan w:val="2"/>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职能职责</w:t>
            </w:r>
          </w:p>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概述</w:t>
            </w:r>
          </w:p>
        </w:tc>
        <w:tc>
          <w:tcPr>
            <w:tcW w:w="7909" w:type="dxa"/>
            <w:gridSpan w:val="13"/>
            <w:vAlign w:val="center"/>
          </w:tcPr>
          <w:p>
            <w:pPr>
              <w:keepNext w:val="0"/>
              <w:keepLines w:val="0"/>
              <w:pageBreakBefore w:val="0"/>
              <w:kinsoku/>
              <w:wordWrap/>
              <w:overflowPunct/>
              <w:topLinePunct w:val="0"/>
              <w:autoSpaceDE/>
              <w:autoSpaceDN w:val="0"/>
              <w:bidi w:val="0"/>
              <w:adjustRightInd/>
              <w:spacing w:line="480" w:lineRule="exact"/>
              <w:ind w:firstLine="400" w:firstLineChars="200"/>
              <w:jc w:val="left"/>
              <w:textAlignment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湘西自治州工业和信息化局是湘西土家族苗族自治州人民政府的工业经济主管部门，统一社会信用代码为11433100006686154J。本单位的主要职责是：贯彻落实国家</w:t>
            </w:r>
            <w:r>
              <w:rPr>
                <w:rFonts w:hint="eastAsia" w:asciiTheme="minorEastAsia" w:hAnsiTheme="minorEastAsia" w:eastAsiaTheme="minorEastAsia" w:cstheme="minorEastAsia"/>
                <w:color w:val="auto"/>
                <w:sz w:val="20"/>
                <w:szCs w:val="20"/>
                <w:highlight w:val="none"/>
                <w:lang w:eastAsia="zh-CN"/>
              </w:rPr>
              <w:t>、</w:t>
            </w:r>
            <w:r>
              <w:rPr>
                <w:rFonts w:hint="eastAsia" w:asciiTheme="minorEastAsia" w:hAnsiTheme="minorEastAsia" w:eastAsiaTheme="minorEastAsia" w:cstheme="minorEastAsia"/>
                <w:color w:val="auto"/>
                <w:sz w:val="20"/>
                <w:szCs w:val="20"/>
                <w:highlight w:val="none"/>
                <w:lang w:val="en-US" w:eastAsia="zh-CN"/>
              </w:rPr>
              <w:t>省和州有关经济和信息化的方针、政策和法规，</w:t>
            </w:r>
            <w:r>
              <w:rPr>
                <w:rFonts w:hint="eastAsia" w:asciiTheme="minorEastAsia" w:hAnsiTheme="minorEastAsia" w:eastAsiaTheme="minorEastAsia" w:cstheme="minorEastAsia"/>
                <w:color w:val="auto"/>
                <w:sz w:val="20"/>
                <w:szCs w:val="20"/>
                <w:highlight w:val="none"/>
              </w:rPr>
              <w:t>研究提出推进产业结构调整、工业与相关产业融合发展及管理创新的政策建议；</w:t>
            </w:r>
            <w:r>
              <w:rPr>
                <w:rFonts w:hint="eastAsia" w:asciiTheme="minorEastAsia" w:hAnsiTheme="minorEastAsia" w:eastAsiaTheme="minorEastAsia" w:cstheme="minorEastAsia"/>
                <w:color w:val="auto"/>
                <w:sz w:val="20"/>
                <w:szCs w:val="20"/>
                <w:highlight w:val="none"/>
                <w:lang w:val="en-US" w:eastAsia="zh-CN"/>
              </w:rPr>
              <w:t>拟定并组织实施工业、信息化的发展专项规划，协同有关部门做好全州维护企业稳定；</w:t>
            </w:r>
            <w:r>
              <w:rPr>
                <w:rFonts w:hint="eastAsia" w:asciiTheme="minorEastAsia" w:hAnsiTheme="minorEastAsia" w:eastAsiaTheme="minorEastAsia" w:cstheme="minorEastAsia"/>
                <w:color w:val="auto"/>
                <w:sz w:val="20"/>
                <w:szCs w:val="20"/>
                <w:highlight w:val="none"/>
              </w:rPr>
              <w:t>拟定全州新型工业化的发展战略，协调解决有关重大问题；负责全州工业和信息化领域的日常经济运行调节；指导工业和信息化领域加强安全生产、质量管理和应急工作，协调减轻企业负担工作；推进信息化和工业化融合，推进高新技术与传统工业改造结合；统筹推进经济和社会领域信息化工作；承担全州军民融合发展综合协调和督导落实、国防科技工业相关职责；贯彻落实国家、省州有关酒类产业发展的政策法规和决策部署促进全州酒类产业发展；承办州人民政府交办的其他事项等职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4193" w:hRule="atLeast"/>
          <w:jc w:val="center"/>
        </w:trPr>
        <w:tc>
          <w:tcPr>
            <w:tcW w:w="1371" w:type="dxa"/>
            <w:gridSpan w:val="2"/>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年度主要</w:t>
            </w:r>
          </w:p>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工作内容</w:t>
            </w:r>
          </w:p>
        </w:tc>
        <w:tc>
          <w:tcPr>
            <w:tcW w:w="7909" w:type="dxa"/>
            <w:gridSpan w:val="13"/>
            <w:vAlign w:val="center"/>
          </w:tcPr>
          <w:p>
            <w:pPr>
              <w:keepNext w:val="0"/>
              <w:keepLines w:val="0"/>
              <w:pageBreakBefore w:val="0"/>
              <w:kinsoku/>
              <w:wordWrap/>
              <w:overflowPunct/>
              <w:topLinePunct w:val="0"/>
              <w:autoSpaceDE/>
              <w:autoSpaceDN w:val="0"/>
              <w:bidi w:val="0"/>
              <w:adjustRightInd/>
              <w:spacing w:line="480" w:lineRule="exact"/>
              <w:ind w:firstLine="400" w:firstLineChars="200"/>
              <w:jc w:val="left"/>
              <w:textAlignment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任务1：以落实“六稳”“六保”任务为着力点，着力推动制造业高质量发展行稳致远。坚持高质量发展，提高规模工业增加值与用电量、工业税收等关联指标的匹配性、协调性。发挥“三联”制度作用，多措并举保持企业稳定运营，全面提高服务企业、服务发展的水平。</w:t>
            </w:r>
          </w:p>
          <w:p>
            <w:pPr>
              <w:keepNext w:val="0"/>
              <w:keepLines w:val="0"/>
              <w:pageBreakBefore w:val="0"/>
              <w:kinsoku/>
              <w:wordWrap/>
              <w:overflowPunct/>
              <w:topLinePunct w:val="0"/>
              <w:autoSpaceDE/>
              <w:autoSpaceDN w:val="0"/>
              <w:bidi w:val="0"/>
              <w:adjustRightInd/>
              <w:spacing w:line="480" w:lineRule="exact"/>
              <w:ind w:firstLine="400" w:firstLineChars="200"/>
              <w:jc w:val="left"/>
              <w:textAlignment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任务2：完善工业投资及技改投资项目库，建立重大项目月调度、季分析工作机制，推进红狮水泥、酒鬼酒三区、浩吴等一批重大产业项目开工、建设和投产，不断培育新的经济增长点。</w:t>
            </w:r>
          </w:p>
          <w:p>
            <w:pPr>
              <w:keepNext w:val="0"/>
              <w:keepLines w:val="0"/>
              <w:pageBreakBefore w:val="0"/>
              <w:kinsoku/>
              <w:wordWrap/>
              <w:overflowPunct/>
              <w:topLinePunct w:val="0"/>
              <w:autoSpaceDE/>
              <w:autoSpaceDN w:val="0"/>
              <w:bidi w:val="0"/>
              <w:adjustRightInd/>
              <w:spacing w:line="480" w:lineRule="exact"/>
              <w:ind w:firstLine="400" w:firstLineChars="200"/>
              <w:jc w:val="left"/>
              <w:textAlignment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任务3：以体制机制改革创新为动力，推进现代园区体系建设。发挥工业园区在推动制造业高质量发展中的主战场、主阵地作用，持续深化改革创新，全面提高园区发展能级。</w:t>
            </w:r>
          </w:p>
          <w:p>
            <w:pPr>
              <w:keepNext w:val="0"/>
              <w:keepLines w:val="0"/>
              <w:pageBreakBefore w:val="0"/>
              <w:kinsoku/>
              <w:wordWrap/>
              <w:overflowPunct/>
              <w:topLinePunct w:val="0"/>
              <w:autoSpaceDE/>
              <w:autoSpaceDN w:val="0"/>
              <w:bidi w:val="0"/>
              <w:adjustRightInd/>
              <w:spacing w:line="480" w:lineRule="exact"/>
              <w:ind w:firstLine="400" w:firstLineChars="200"/>
              <w:jc w:val="left"/>
              <w:textAlignment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任务</w:t>
            </w:r>
            <w:r>
              <w:rPr>
                <w:rFonts w:hint="eastAsia" w:asciiTheme="minorEastAsia" w:hAnsiTheme="minorEastAsia" w:eastAsiaTheme="minorEastAsia" w:cstheme="minorEastAsia"/>
                <w:color w:val="auto"/>
                <w:sz w:val="20"/>
                <w:szCs w:val="20"/>
                <w:highlight w:val="none"/>
                <w:lang w:val="en-US" w:eastAsia="zh-CN"/>
              </w:rPr>
              <w:t>4</w:t>
            </w:r>
            <w:r>
              <w:rPr>
                <w:rFonts w:hint="eastAsia" w:asciiTheme="minorEastAsia" w:hAnsiTheme="minorEastAsia" w:eastAsiaTheme="minorEastAsia" w:cstheme="minorEastAsia"/>
                <w:color w:val="auto"/>
                <w:sz w:val="20"/>
                <w:szCs w:val="20"/>
                <w:highlight w:val="none"/>
              </w:rPr>
              <w:t>：牢固树立产业链思维，狠抓优势产业链建设，推动产业转型升级，着力培育具有湘西特色的“2+3”产业集群。推进优势产业链建设。</w:t>
            </w:r>
          </w:p>
          <w:p>
            <w:pPr>
              <w:keepNext w:val="0"/>
              <w:keepLines w:val="0"/>
              <w:pageBreakBefore w:val="0"/>
              <w:kinsoku/>
              <w:wordWrap/>
              <w:overflowPunct/>
              <w:topLinePunct w:val="0"/>
              <w:autoSpaceDE/>
              <w:autoSpaceDN w:val="0"/>
              <w:bidi w:val="0"/>
              <w:adjustRightInd/>
              <w:spacing w:line="480" w:lineRule="exact"/>
              <w:ind w:firstLine="400" w:firstLineChars="200"/>
              <w:jc w:val="left"/>
              <w:textAlignment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任务5：加强龙头企业中小企业培育。完善入规企业扶持政策，持以之恒抓好规模企业培育。加强小巨人、“单项冠军”等企业培育，推动中小企业专精特新发展。</w:t>
            </w:r>
          </w:p>
          <w:p>
            <w:pPr>
              <w:keepNext w:val="0"/>
              <w:keepLines w:val="0"/>
              <w:pageBreakBefore w:val="0"/>
              <w:kinsoku/>
              <w:wordWrap/>
              <w:overflowPunct/>
              <w:topLinePunct w:val="0"/>
              <w:autoSpaceDE/>
              <w:autoSpaceDN w:val="0"/>
              <w:bidi w:val="0"/>
              <w:adjustRightInd/>
              <w:spacing w:line="480" w:lineRule="exact"/>
              <w:ind w:firstLine="400" w:firstLineChars="200"/>
              <w:jc w:val="left"/>
              <w:textAlignment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任务6：主动对接粤港澳大湾区、成渝经济区等国家战略，找准我州在构建新发展格局中的立足点和切入点，充分放大湘南湘西承接产业转移示范区政策优势和后发优势，围绕优势产业链建设实施精准招商，发布产业链招商目录，狠抓产业链“延补配”，引进一批标志性企业和引擎性项目，提高产业链供应链稳定性。</w:t>
            </w:r>
          </w:p>
          <w:p>
            <w:pPr>
              <w:keepNext w:val="0"/>
              <w:keepLines w:val="0"/>
              <w:pageBreakBefore w:val="0"/>
              <w:kinsoku/>
              <w:wordWrap/>
              <w:overflowPunct/>
              <w:topLinePunct w:val="0"/>
              <w:autoSpaceDE/>
              <w:autoSpaceDN w:val="0"/>
              <w:bidi w:val="0"/>
              <w:adjustRightInd/>
              <w:spacing w:line="480" w:lineRule="exact"/>
              <w:ind w:firstLine="400" w:firstLineChars="200"/>
              <w:jc w:val="left"/>
              <w:textAlignment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任务7：提高金融服务制造业发展能级，加强要素保障，培育发展生产性服务业，加快构建与制造业发展水平相适应的现代 服务体系。充分发挥州担保、转贷平台作用，引导银行等金融机构加大制造业领域信贷投放力度。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4509" w:hRule="atLeast"/>
          <w:jc w:val="center"/>
        </w:trPr>
        <w:tc>
          <w:tcPr>
            <w:tcW w:w="1371" w:type="dxa"/>
            <w:gridSpan w:val="2"/>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年度部门（单位）总体运行情况及取得的成绩</w:t>
            </w:r>
          </w:p>
        </w:tc>
        <w:tc>
          <w:tcPr>
            <w:tcW w:w="7909" w:type="dxa"/>
            <w:gridSpan w:val="13"/>
            <w:vAlign w:val="center"/>
          </w:tcPr>
          <w:p>
            <w:pPr>
              <w:keepNext w:val="0"/>
              <w:keepLines w:val="0"/>
              <w:pageBreakBefore w:val="0"/>
              <w:kinsoku/>
              <w:wordWrap/>
              <w:overflowPunct/>
              <w:topLinePunct w:val="0"/>
              <w:autoSpaceDE/>
              <w:bidi w:val="0"/>
              <w:adjustRightInd/>
              <w:spacing w:line="480" w:lineRule="exact"/>
              <w:ind w:firstLine="400" w:firstLineChars="200"/>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202</w:t>
            </w:r>
            <w:r>
              <w:rPr>
                <w:rFonts w:hint="eastAsia" w:asciiTheme="minorEastAsia" w:hAnsiTheme="minorEastAsia" w:eastAsiaTheme="minorEastAsia" w:cstheme="minorEastAsia"/>
                <w:color w:val="auto"/>
                <w:sz w:val="20"/>
                <w:szCs w:val="20"/>
                <w:highlight w:val="none"/>
                <w:lang w:val="en-US" w:eastAsia="zh-CN"/>
              </w:rPr>
              <w:t>1</w:t>
            </w:r>
            <w:r>
              <w:rPr>
                <w:rFonts w:hint="eastAsia" w:asciiTheme="minorEastAsia" w:hAnsiTheme="minorEastAsia" w:eastAsiaTheme="minorEastAsia" w:cstheme="minorEastAsia"/>
                <w:color w:val="auto"/>
                <w:sz w:val="20"/>
                <w:szCs w:val="20"/>
                <w:highlight w:val="none"/>
              </w:rPr>
              <w:t>年，全州工信工作聚焦“三高四新”战略定位和使命任务，聚焦打造“三区两地”和建设“五个湘西”，坚持“速度优先、优势优先”方针，以优势产业链建设为总揽，突出项目建设、企业培育、环境优化，工业经济实现高速增长，制造业高质量发展迈出坚实步伐。202</w:t>
            </w:r>
            <w:r>
              <w:rPr>
                <w:rFonts w:hint="eastAsia" w:asciiTheme="minorEastAsia" w:hAnsiTheme="minorEastAsia" w:eastAsiaTheme="minorEastAsia" w:cstheme="minorEastAsia"/>
                <w:color w:val="auto"/>
                <w:sz w:val="20"/>
                <w:szCs w:val="20"/>
                <w:highlight w:val="none"/>
                <w:lang w:val="en-US" w:eastAsia="zh-CN"/>
              </w:rPr>
              <w:t>1</w:t>
            </w:r>
            <w:r>
              <w:rPr>
                <w:rFonts w:hint="eastAsia" w:asciiTheme="minorEastAsia" w:hAnsiTheme="minorEastAsia" w:eastAsiaTheme="minorEastAsia" w:cstheme="minorEastAsia"/>
                <w:color w:val="auto"/>
                <w:sz w:val="20"/>
                <w:szCs w:val="20"/>
                <w:highlight w:val="none"/>
              </w:rPr>
              <w:t>年度</w:t>
            </w:r>
            <w:r>
              <w:rPr>
                <w:rFonts w:hint="eastAsia" w:asciiTheme="minorEastAsia" w:hAnsiTheme="minorEastAsia" w:eastAsiaTheme="minorEastAsia" w:cstheme="minorEastAsia"/>
                <w:color w:val="auto"/>
                <w:sz w:val="20"/>
                <w:szCs w:val="20"/>
                <w:highlight w:val="none"/>
                <w:lang w:eastAsia="zh-CN"/>
              </w:rPr>
              <w:t>，</w:t>
            </w:r>
            <w:r>
              <w:rPr>
                <w:rFonts w:hint="eastAsia" w:asciiTheme="minorEastAsia" w:hAnsiTheme="minorEastAsia" w:eastAsiaTheme="minorEastAsia" w:cstheme="minorEastAsia"/>
                <w:color w:val="auto"/>
                <w:sz w:val="20"/>
                <w:szCs w:val="20"/>
                <w:highlight w:val="none"/>
                <w:lang w:val="en-US" w:eastAsia="zh-CN"/>
              </w:rPr>
              <w:t>本单位</w:t>
            </w:r>
            <w:r>
              <w:rPr>
                <w:rFonts w:hint="eastAsia" w:asciiTheme="minorEastAsia" w:hAnsiTheme="minorEastAsia" w:eastAsiaTheme="minorEastAsia" w:cstheme="minorEastAsia"/>
                <w:color w:val="auto"/>
                <w:sz w:val="20"/>
                <w:szCs w:val="20"/>
                <w:highlight w:val="none"/>
              </w:rPr>
              <w:t>总体运行情况及取得的成绩如下：</w:t>
            </w:r>
          </w:p>
          <w:p>
            <w:pPr>
              <w:keepNext w:val="0"/>
              <w:keepLines w:val="0"/>
              <w:pageBreakBefore w:val="0"/>
              <w:kinsoku/>
              <w:wordWrap/>
              <w:overflowPunct/>
              <w:topLinePunct w:val="0"/>
              <w:autoSpaceDE/>
              <w:bidi w:val="0"/>
              <w:adjustRightInd/>
              <w:spacing w:line="480" w:lineRule="exact"/>
              <w:ind w:firstLine="400" w:firstLineChars="200"/>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1、1-12月，全州规模工业增加值增速18.1%、两年平均增速11.1%，累计增速高于全国和全省平均水平、排名全省第一；其中，工业投资完成 80.1亿元、同比增长0.7%、两年平均增长18.2%，制造业投资完成56.5 亿元、同比增长11.8%；工业税收完成 15亿元、同比增长59.2%；工业贷款余额74.7亿元、同比增长7.3%，拉动作用增强。</w:t>
            </w:r>
          </w:p>
          <w:p>
            <w:pPr>
              <w:keepNext w:val="0"/>
              <w:keepLines w:val="0"/>
              <w:pageBreakBefore w:val="0"/>
              <w:kinsoku/>
              <w:wordWrap/>
              <w:overflowPunct/>
              <w:topLinePunct w:val="0"/>
              <w:autoSpaceDE/>
              <w:bidi w:val="0"/>
              <w:adjustRightInd/>
              <w:spacing w:line="480" w:lineRule="exact"/>
              <w:ind w:firstLine="400" w:firstLineChars="200"/>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2、</w:t>
            </w:r>
            <w:r>
              <w:rPr>
                <w:rFonts w:hint="eastAsia" w:asciiTheme="minorEastAsia" w:hAnsiTheme="minorEastAsia" w:eastAsiaTheme="minorEastAsia" w:cstheme="minorEastAsia"/>
                <w:color w:val="auto"/>
                <w:sz w:val="20"/>
                <w:szCs w:val="20"/>
                <w:highlight w:val="none"/>
                <w:lang w:val="en-US" w:eastAsia="zh-CN"/>
              </w:rPr>
              <w:t>2021年</w:t>
            </w:r>
            <w:r>
              <w:rPr>
                <w:rFonts w:hint="eastAsia" w:asciiTheme="minorEastAsia" w:hAnsiTheme="minorEastAsia" w:eastAsiaTheme="minorEastAsia" w:cstheme="minorEastAsia"/>
                <w:color w:val="auto"/>
                <w:sz w:val="20"/>
                <w:szCs w:val="20"/>
                <w:highlight w:val="none"/>
              </w:rPr>
              <w:t>，我州动态调度的100个工业项目完成投资22.6亿元。酒鬼生产三区、立研锂电池、奥科新材料等一批重点产业项目开工建设；华美兴泰移动储能等26个项目建成投产，发展后劲不断增强。4个“省产品创新强基”项目建成投产,累计完成投资1.33亿元，突破关键技术11项。通信基础设施建设完成投资5.4亿元，新建5G基站1320个，超额完成全年任务。</w:t>
            </w:r>
          </w:p>
          <w:p>
            <w:pPr>
              <w:keepNext w:val="0"/>
              <w:keepLines w:val="0"/>
              <w:pageBreakBefore w:val="0"/>
              <w:kinsoku/>
              <w:wordWrap/>
              <w:overflowPunct/>
              <w:topLinePunct w:val="0"/>
              <w:autoSpaceDE/>
              <w:bidi w:val="0"/>
              <w:adjustRightInd/>
              <w:spacing w:line="480" w:lineRule="exact"/>
              <w:ind w:firstLine="400" w:firstLineChars="200"/>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3、</w:t>
            </w:r>
            <w:bookmarkStart w:id="1" w:name="_Hlk75405264"/>
            <w:r>
              <w:rPr>
                <w:rFonts w:hint="eastAsia" w:asciiTheme="minorEastAsia" w:hAnsiTheme="minorEastAsia" w:eastAsiaTheme="minorEastAsia" w:cstheme="minorEastAsia"/>
                <w:color w:val="auto"/>
                <w:sz w:val="20"/>
                <w:szCs w:val="20"/>
                <w:highlight w:val="none"/>
              </w:rPr>
              <w:t>1-12月，9条优势产业链产值增长 24.7 %，高于规模工业总产值增速 1.2 个百分点；白酒、锰锌新材料、锂电池、“两茶”产业链分别增长94%、39.5%、38.8%和22.5%，发展势头强劲。酒鬼酒公司实现主营业务收入34.03亿元（增长87.28%）、利税总额21.62亿元（增长70.84%）、利润总额11.91亿元（增长82.99%），支撑带动作用明显。</w:t>
            </w:r>
          </w:p>
          <w:bookmarkEnd w:id="1"/>
          <w:p>
            <w:pPr>
              <w:keepNext w:val="0"/>
              <w:keepLines w:val="0"/>
              <w:pageBreakBefore w:val="0"/>
              <w:kinsoku/>
              <w:wordWrap/>
              <w:overflowPunct/>
              <w:topLinePunct w:val="0"/>
              <w:autoSpaceDE/>
              <w:bidi w:val="0"/>
              <w:adjustRightInd/>
              <w:spacing w:line="480" w:lineRule="exact"/>
              <w:ind w:firstLine="400" w:firstLineChars="200"/>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lang w:val="en-US" w:eastAsia="zh-CN"/>
              </w:rPr>
              <w:t>4</w:t>
            </w:r>
            <w:r>
              <w:rPr>
                <w:rFonts w:hint="eastAsia" w:asciiTheme="minorEastAsia" w:hAnsiTheme="minorEastAsia" w:eastAsiaTheme="minorEastAsia" w:cstheme="minorEastAsia"/>
                <w:color w:val="auto"/>
                <w:sz w:val="20"/>
                <w:szCs w:val="20"/>
                <w:highlight w:val="none"/>
              </w:rPr>
              <w:t>、以“链长制”为抓手，整合要素资源，分链配套政策，突出优势优先、龙头带动，积极开展产业链精准招商，大力推进9条优势产业链建设。各“链长”、“链办”共外出招商20余次，招引项目39个、投资总额125亿元，为工业经济发展注入新动能。</w:t>
            </w:r>
          </w:p>
          <w:p>
            <w:pPr>
              <w:keepNext w:val="0"/>
              <w:keepLines w:val="0"/>
              <w:pageBreakBefore w:val="0"/>
              <w:kinsoku/>
              <w:wordWrap/>
              <w:overflowPunct/>
              <w:topLinePunct w:val="0"/>
              <w:autoSpaceDE/>
              <w:bidi w:val="0"/>
              <w:adjustRightInd/>
              <w:spacing w:line="480" w:lineRule="exact"/>
              <w:ind w:firstLine="400" w:firstLineChars="200"/>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lang w:val="en-US" w:eastAsia="zh-CN"/>
              </w:rPr>
              <w:t>5</w:t>
            </w:r>
            <w:r>
              <w:rPr>
                <w:rFonts w:hint="eastAsia" w:asciiTheme="minorEastAsia" w:hAnsiTheme="minorEastAsia" w:eastAsiaTheme="minorEastAsia" w:cstheme="minorEastAsia"/>
                <w:color w:val="auto"/>
                <w:sz w:val="20"/>
                <w:szCs w:val="20"/>
                <w:highlight w:val="none"/>
              </w:rPr>
              <w:t>、加强银政企对接，积极搭建中小企业融资服务平台，努力缓解企业融资难、融资贵问题。与州农行签订产业链支持战略合作协议，在3年合作期内为9条产业链企业累计提供各项融资不低于20亿元。州应急转贷资金完成98笔转贷业务，涉及续贷资金6.16亿元，共计应收综合费68.21万元，实收47.75万元，减免30%。积极协调电价优惠政策，全州工业企业享受电价优惠额度达1.32亿元。强力推进清理拖欠民营企业中小企业账款工作，督促本年度新增拖欠的古丈、龙山、凤凰三县全部清偿到位。各项优惠政策助推企业效益快速转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214" w:hRule="atLeast"/>
          <w:jc w:val="center"/>
        </w:trPr>
        <w:tc>
          <w:tcPr>
            <w:tcW w:w="9280" w:type="dxa"/>
            <w:gridSpan w:val="15"/>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b/>
                <w:bCs/>
                <w:color w:val="auto"/>
                <w:sz w:val="20"/>
                <w:szCs w:val="20"/>
                <w:highlight w:val="none"/>
              </w:rPr>
              <w:t>二、部门（单位）收支情况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14" w:hRule="atLeast"/>
          <w:jc w:val="center"/>
        </w:trPr>
        <w:tc>
          <w:tcPr>
            <w:tcW w:w="9280" w:type="dxa"/>
            <w:gridSpan w:val="15"/>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b/>
                <w:bCs/>
                <w:color w:val="auto"/>
                <w:sz w:val="20"/>
                <w:szCs w:val="20"/>
                <w:highlight w:val="none"/>
              </w:rPr>
              <w:t>年度收入情况（万元）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214" w:hRule="atLeast"/>
          <w:jc w:val="center"/>
        </w:trPr>
        <w:tc>
          <w:tcPr>
            <w:tcW w:w="1409" w:type="dxa"/>
            <w:gridSpan w:val="3"/>
            <w:vMerge w:val="restart"/>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机构名称</w:t>
            </w:r>
          </w:p>
        </w:tc>
        <w:tc>
          <w:tcPr>
            <w:tcW w:w="1248" w:type="dxa"/>
            <w:gridSpan w:val="2"/>
            <w:vMerge w:val="restart"/>
            <w:tcBorders>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收入合计</w:t>
            </w:r>
          </w:p>
        </w:tc>
        <w:tc>
          <w:tcPr>
            <w:tcW w:w="6623" w:type="dxa"/>
            <w:gridSpan w:val="10"/>
            <w:tcBorders>
              <w:lef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其中：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424" w:hRule="atLeast"/>
          <w:jc w:val="center"/>
        </w:trPr>
        <w:tc>
          <w:tcPr>
            <w:tcW w:w="1409" w:type="dxa"/>
            <w:gridSpan w:val="3"/>
            <w:vMerge w:val="continue"/>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rPr>
            </w:pPr>
          </w:p>
        </w:tc>
        <w:tc>
          <w:tcPr>
            <w:tcW w:w="1248" w:type="dxa"/>
            <w:gridSpan w:val="2"/>
            <w:vMerge w:val="continue"/>
            <w:tcBorders>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rPr>
            </w:pPr>
          </w:p>
        </w:tc>
        <w:tc>
          <w:tcPr>
            <w:tcW w:w="1037" w:type="dxa"/>
            <w:gridSpan w:val="2"/>
            <w:tcBorders>
              <w:lef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上年</w:t>
            </w:r>
          </w:p>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结转</w:t>
            </w:r>
          </w:p>
        </w:tc>
        <w:tc>
          <w:tcPr>
            <w:tcW w:w="1097" w:type="dxa"/>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公共财</w:t>
            </w:r>
          </w:p>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政拨款</w:t>
            </w:r>
          </w:p>
        </w:tc>
        <w:tc>
          <w:tcPr>
            <w:tcW w:w="1428" w:type="dxa"/>
            <w:gridSpan w:val="2"/>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政府基金</w:t>
            </w:r>
          </w:p>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拨款</w:t>
            </w:r>
          </w:p>
        </w:tc>
        <w:tc>
          <w:tcPr>
            <w:tcW w:w="1118" w:type="dxa"/>
            <w:gridSpan w:val="2"/>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lang w:val="en-US" w:eastAsia="zh-CN"/>
              </w:rPr>
              <w:t>事业收入</w:t>
            </w:r>
          </w:p>
        </w:tc>
        <w:tc>
          <w:tcPr>
            <w:tcW w:w="1943" w:type="dxa"/>
            <w:gridSpan w:val="3"/>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其他</w:t>
            </w:r>
          </w:p>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收入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633" w:hRule="atLeast"/>
          <w:jc w:val="center"/>
        </w:trPr>
        <w:tc>
          <w:tcPr>
            <w:tcW w:w="1409" w:type="dxa"/>
            <w:gridSpan w:val="3"/>
            <w:vAlign w:val="center"/>
          </w:tcPr>
          <w:p>
            <w:pPr>
              <w:pStyle w:val="13"/>
              <w:keepNext w:val="0"/>
              <w:keepLines w:val="0"/>
              <w:pageBreakBefore w:val="0"/>
              <w:widowControl w:val="0"/>
              <w:kinsoku/>
              <w:wordWrap/>
              <w:overflowPunct/>
              <w:topLinePunct w:val="0"/>
              <w:autoSpaceDE/>
              <w:bidi w:val="0"/>
              <w:adjustRightInd/>
              <w:snapToGrid/>
              <w:spacing w:line="460" w:lineRule="exact"/>
              <w:jc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局机关及二级机构汇总</w:t>
            </w:r>
          </w:p>
        </w:tc>
        <w:tc>
          <w:tcPr>
            <w:tcW w:w="1248" w:type="dxa"/>
            <w:gridSpan w:val="2"/>
            <w:tcBorders>
              <w:right w:val="single" w:color="auto" w:sz="4" w:space="0"/>
            </w:tcBorders>
            <w:vAlign w:val="center"/>
          </w:tcPr>
          <w:p>
            <w:pPr>
              <w:keepNext w:val="0"/>
              <w:keepLines w:val="0"/>
              <w:pageBreakBefore w:val="0"/>
              <w:widowControl w:val="0"/>
              <w:kinsoku/>
              <w:wordWrap/>
              <w:overflowPunct/>
              <w:topLinePunct w:val="0"/>
              <w:autoSpaceDE/>
              <w:autoSpaceDN w:val="0"/>
              <w:bidi w:val="0"/>
              <w:adjustRightInd/>
              <w:snapToGrid/>
              <w:spacing w:line="460" w:lineRule="exact"/>
              <w:jc w:val="center"/>
              <w:textAlignment w:val="center"/>
              <w:rPr>
                <w:rFonts w:hint="default"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lang w:val="en-US" w:eastAsia="zh-CN"/>
              </w:rPr>
              <w:t>7020.73</w:t>
            </w:r>
          </w:p>
        </w:tc>
        <w:tc>
          <w:tcPr>
            <w:tcW w:w="1037" w:type="dxa"/>
            <w:gridSpan w:val="2"/>
            <w:tcBorders>
              <w:left w:val="single" w:color="auto" w:sz="4" w:space="0"/>
            </w:tcBorders>
            <w:vAlign w:val="center"/>
          </w:tcPr>
          <w:p>
            <w:pPr>
              <w:keepNext w:val="0"/>
              <w:keepLines w:val="0"/>
              <w:pageBreakBefore w:val="0"/>
              <w:widowControl w:val="0"/>
              <w:kinsoku/>
              <w:wordWrap/>
              <w:overflowPunct/>
              <w:topLinePunct w:val="0"/>
              <w:autoSpaceDE/>
              <w:autoSpaceDN w:val="0"/>
              <w:bidi w:val="0"/>
              <w:adjustRightInd/>
              <w:snapToGrid/>
              <w:spacing w:line="460" w:lineRule="exact"/>
              <w:jc w:val="center"/>
              <w:textAlignment w:val="center"/>
              <w:rPr>
                <w:rFonts w:hint="default"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lang w:val="en-US" w:eastAsia="zh-CN"/>
              </w:rPr>
              <w:t>1802.42</w:t>
            </w:r>
          </w:p>
        </w:tc>
        <w:tc>
          <w:tcPr>
            <w:tcW w:w="1097" w:type="dxa"/>
            <w:vAlign w:val="center"/>
          </w:tcPr>
          <w:p>
            <w:pPr>
              <w:keepNext w:val="0"/>
              <w:keepLines w:val="0"/>
              <w:pageBreakBefore w:val="0"/>
              <w:widowControl w:val="0"/>
              <w:kinsoku/>
              <w:wordWrap/>
              <w:overflowPunct/>
              <w:topLinePunct w:val="0"/>
              <w:autoSpaceDE/>
              <w:autoSpaceDN w:val="0"/>
              <w:bidi w:val="0"/>
              <w:adjustRightInd/>
              <w:snapToGrid/>
              <w:spacing w:line="460" w:lineRule="exact"/>
              <w:jc w:val="center"/>
              <w:textAlignment w:val="center"/>
              <w:rPr>
                <w:rFonts w:hint="default"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lang w:val="en-US" w:eastAsia="zh-CN"/>
              </w:rPr>
              <w:t>4679.80</w:t>
            </w:r>
          </w:p>
        </w:tc>
        <w:tc>
          <w:tcPr>
            <w:tcW w:w="1428" w:type="dxa"/>
            <w:gridSpan w:val="2"/>
            <w:vAlign w:val="center"/>
          </w:tcPr>
          <w:p>
            <w:pPr>
              <w:keepNext w:val="0"/>
              <w:keepLines w:val="0"/>
              <w:pageBreakBefore w:val="0"/>
              <w:widowControl w:val="0"/>
              <w:kinsoku/>
              <w:wordWrap/>
              <w:overflowPunct/>
              <w:topLinePunct w:val="0"/>
              <w:autoSpaceDE/>
              <w:autoSpaceDN w:val="0"/>
              <w:bidi w:val="0"/>
              <w:adjustRightInd/>
              <w:snapToGrid/>
              <w:spacing w:line="460" w:lineRule="exact"/>
              <w:jc w:val="center"/>
              <w:textAlignment w:val="center"/>
              <w:rPr>
                <w:rFonts w:hint="eastAsia"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lang w:val="en-US" w:eastAsia="zh-CN"/>
              </w:rPr>
              <w:t>0</w:t>
            </w:r>
          </w:p>
        </w:tc>
        <w:tc>
          <w:tcPr>
            <w:tcW w:w="1118" w:type="dxa"/>
            <w:gridSpan w:val="2"/>
            <w:vAlign w:val="center"/>
          </w:tcPr>
          <w:p>
            <w:pPr>
              <w:keepNext w:val="0"/>
              <w:keepLines w:val="0"/>
              <w:pageBreakBefore w:val="0"/>
              <w:widowControl w:val="0"/>
              <w:kinsoku/>
              <w:wordWrap/>
              <w:overflowPunct/>
              <w:topLinePunct w:val="0"/>
              <w:autoSpaceDE/>
              <w:autoSpaceDN w:val="0"/>
              <w:bidi w:val="0"/>
              <w:adjustRightInd/>
              <w:snapToGrid/>
              <w:spacing w:line="460" w:lineRule="exact"/>
              <w:jc w:val="center"/>
              <w:textAlignment w:val="center"/>
              <w:rPr>
                <w:rFonts w:hint="default"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lang w:val="en-US" w:eastAsia="zh-CN"/>
              </w:rPr>
              <w:t>30.00</w:t>
            </w:r>
          </w:p>
        </w:tc>
        <w:tc>
          <w:tcPr>
            <w:tcW w:w="1943" w:type="dxa"/>
            <w:gridSpan w:val="3"/>
            <w:vAlign w:val="center"/>
          </w:tcPr>
          <w:p>
            <w:pPr>
              <w:keepNext w:val="0"/>
              <w:keepLines w:val="0"/>
              <w:pageBreakBefore w:val="0"/>
              <w:widowControl w:val="0"/>
              <w:kinsoku/>
              <w:wordWrap/>
              <w:overflowPunct/>
              <w:topLinePunct w:val="0"/>
              <w:autoSpaceDE/>
              <w:autoSpaceDN w:val="0"/>
              <w:bidi w:val="0"/>
              <w:adjustRightInd/>
              <w:snapToGrid/>
              <w:spacing w:line="460" w:lineRule="exact"/>
              <w:jc w:val="center"/>
              <w:textAlignment w:val="center"/>
              <w:rPr>
                <w:rFonts w:hint="default"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lang w:val="en-US" w:eastAsia="zh-CN"/>
              </w:rPr>
              <w:t>495.71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967" w:hRule="atLeast"/>
          <w:jc w:val="center"/>
        </w:trPr>
        <w:tc>
          <w:tcPr>
            <w:tcW w:w="1409" w:type="dxa"/>
            <w:gridSpan w:val="3"/>
            <w:vAlign w:val="center"/>
          </w:tcPr>
          <w:p>
            <w:pPr>
              <w:pStyle w:val="13"/>
              <w:keepNext w:val="0"/>
              <w:keepLines w:val="0"/>
              <w:pageBreakBefore w:val="0"/>
              <w:widowControl w:val="0"/>
              <w:kinsoku/>
              <w:wordWrap/>
              <w:overflowPunct/>
              <w:topLinePunct w:val="0"/>
              <w:autoSpaceDE/>
              <w:bidi w:val="0"/>
              <w:adjustRightInd/>
              <w:snapToGrid/>
              <w:spacing w:line="460" w:lineRule="exact"/>
              <w:jc w:val="both"/>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1、本级机构</w:t>
            </w:r>
          </w:p>
        </w:tc>
        <w:tc>
          <w:tcPr>
            <w:tcW w:w="1248" w:type="dxa"/>
            <w:gridSpan w:val="2"/>
            <w:tcBorders>
              <w:right w:val="single" w:color="auto" w:sz="4" w:space="0"/>
            </w:tcBorders>
            <w:vAlign w:val="center"/>
          </w:tcPr>
          <w:p>
            <w:pPr>
              <w:keepNext w:val="0"/>
              <w:keepLines w:val="0"/>
              <w:pageBreakBefore w:val="0"/>
              <w:widowControl w:val="0"/>
              <w:kinsoku/>
              <w:wordWrap/>
              <w:overflowPunct/>
              <w:topLinePunct w:val="0"/>
              <w:autoSpaceDE/>
              <w:autoSpaceDN w:val="0"/>
              <w:bidi w:val="0"/>
              <w:adjustRightInd/>
              <w:snapToGrid/>
              <w:spacing w:line="460" w:lineRule="exact"/>
              <w:jc w:val="center"/>
              <w:textAlignment w:val="center"/>
              <w:rPr>
                <w:rFonts w:hint="default"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lang w:val="en-US" w:eastAsia="zh-CN"/>
              </w:rPr>
              <w:t>6131.25</w:t>
            </w:r>
          </w:p>
        </w:tc>
        <w:tc>
          <w:tcPr>
            <w:tcW w:w="1037" w:type="dxa"/>
            <w:gridSpan w:val="2"/>
            <w:tcBorders>
              <w:left w:val="single" w:color="auto" w:sz="4" w:space="0"/>
            </w:tcBorders>
            <w:vAlign w:val="center"/>
          </w:tcPr>
          <w:p>
            <w:pPr>
              <w:keepNext w:val="0"/>
              <w:keepLines w:val="0"/>
              <w:pageBreakBefore w:val="0"/>
              <w:widowControl w:val="0"/>
              <w:kinsoku/>
              <w:wordWrap/>
              <w:overflowPunct/>
              <w:topLinePunct w:val="0"/>
              <w:autoSpaceDE/>
              <w:autoSpaceDN w:val="0"/>
              <w:bidi w:val="0"/>
              <w:adjustRightInd/>
              <w:snapToGrid/>
              <w:spacing w:line="460" w:lineRule="exact"/>
              <w:jc w:val="center"/>
              <w:textAlignment w:val="center"/>
              <w:rPr>
                <w:rFonts w:hint="default"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lang w:val="en-US" w:eastAsia="zh-CN"/>
              </w:rPr>
              <w:t>1744.29</w:t>
            </w:r>
          </w:p>
        </w:tc>
        <w:tc>
          <w:tcPr>
            <w:tcW w:w="1097" w:type="dxa"/>
            <w:vAlign w:val="center"/>
          </w:tcPr>
          <w:p>
            <w:pPr>
              <w:keepNext w:val="0"/>
              <w:keepLines w:val="0"/>
              <w:pageBreakBefore w:val="0"/>
              <w:widowControl w:val="0"/>
              <w:kinsoku/>
              <w:wordWrap/>
              <w:overflowPunct/>
              <w:topLinePunct w:val="0"/>
              <w:autoSpaceDE/>
              <w:autoSpaceDN w:val="0"/>
              <w:bidi w:val="0"/>
              <w:adjustRightInd/>
              <w:snapToGrid/>
              <w:spacing w:line="460" w:lineRule="exact"/>
              <w:jc w:val="center"/>
              <w:textAlignment w:val="center"/>
              <w:rPr>
                <w:rFonts w:hint="default"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lang w:val="en-US" w:eastAsia="zh-CN"/>
              </w:rPr>
              <w:t>4134.52</w:t>
            </w:r>
          </w:p>
        </w:tc>
        <w:tc>
          <w:tcPr>
            <w:tcW w:w="1428" w:type="dxa"/>
            <w:gridSpan w:val="2"/>
            <w:vAlign w:val="center"/>
          </w:tcPr>
          <w:p>
            <w:pPr>
              <w:keepNext w:val="0"/>
              <w:keepLines w:val="0"/>
              <w:pageBreakBefore w:val="0"/>
              <w:widowControl w:val="0"/>
              <w:kinsoku/>
              <w:wordWrap/>
              <w:overflowPunct/>
              <w:topLinePunct w:val="0"/>
              <w:autoSpaceDE/>
              <w:autoSpaceDN w:val="0"/>
              <w:bidi w:val="0"/>
              <w:adjustRightInd/>
              <w:snapToGrid/>
              <w:spacing w:line="460" w:lineRule="exact"/>
              <w:jc w:val="center"/>
              <w:textAlignment w:val="center"/>
              <w:rPr>
                <w:rFonts w:hint="eastAsia" w:asciiTheme="minorEastAsia" w:hAnsiTheme="minorEastAsia" w:eastAsiaTheme="minorEastAsia" w:cstheme="minorEastAsia"/>
                <w:color w:val="auto"/>
                <w:sz w:val="20"/>
                <w:szCs w:val="20"/>
                <w:highlight w:val="none"/>
                <w:lang w:eastAsia="zh-CN"/>
              </w:rPr>
            </w:pPr>
            <w:r>
              <w:rPr>
                <w:rFonts w:hint="eastAsia" w:asciiTheme="minorEastAsia" w:hAnsiTheme="minorEastAsia" w:eastAsiaTheme="minorEastAsia" w:cstheme="minorEastAsia"/>
                <w:color w:val="auto"/>
                <w:sz w:val="20"/>
                <w:szCs w:val="20"/>
                <w:highlight w:val="none"/>
                <w:lang w:val="en-US" w:eastAsia="zh-CN"/>
              </w:rPr>
              <w:t>0</w:t>
            </w:r>
          </w:p>
        </w:tc>
        <w:tc>
          <w:tcPr>
            <w:tcW w:w="1118" w:type="dxa"/>
            <w:gridSpan w:val="2"/>
            <w:vAlign w:val="center"/>
          </w:tcPr>
          <w:p>
            <w:pPr>
              <w:keepNext w:val="0"/>
              <w:keepLines w:val="0"/>
              <w:pageBreakBefore w:val="0"/>
              <w:widowControl w:val="0"/>
              <w:kinsoku/>
              <w:wordWrap/>
              <w:overflowPunct/>
              <w:topLinePunct w:val="0"/>
              <w:autoSpaceDE/>
              <w:autoSpaceDN w:val="0"/>
              <w:bidi w:val="0"/>
              <w:adjustRightInd/>
              <w:snapToGrid/>
              <w:spacing w:line="460" w:lineRule="exact"/>
              <w:jc w:val="center"/>
              <w:textAlignment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0</w:t>
            </w:r>
          </w:p>
        </w:tc>
        <w:tc>
          <w:tcPr>
            <w:tcW w:w="1943" w:type="dxa"/>
            <w:gridSpan w:val="3"/>
            <w:vAlign w:val="center"/>
          </w:tcPr>
          <w:p>
            <w:pPr>
              <w:keepNext w:val="0"/>
              <w:keepLines w:val="0"/>
              <w:pageBreakBefore w:val="0"/>
              <w:widowControl w:val="0"/>
              <w:kinsoku/>
              <w:wordWrap/>
              <w:overflowPunct/>
              <w:topLinePunct w:val="0"/>
              <w:autoSpaceDE/>
              <w:autoSpaceDN w:val="0"/>
              <w:bidi w:val="0"/>
              <w:adjustRightInd/>
              <w:snapToGrid/>
              <w:spacing w:line="460" w:lineRule="exact"/>
              <w:jc w:val="center"/>
              <w:textAlignment w:val="center"/>
              <w:rPr>
                <w:rFonts w:hint="default"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lang w:val="en-US" w:eastAsia="zh-CN"/>
              </w:rPr>
              <w:t>252.44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94" w:hRule="atLeast"/>
          <w:jc w:val="center"/>
        </w:trPr>
        <w:tc>
          <w:tcPr>
            <w:tcW w:w="1409" w:type="dxa"/>
            <w:gridSpan w:val="3"/>
            <w:vAlign w:val="center"/>
          </w:tcPr>
          <w:p>
            <w:pPr>
              <w:pStyle w:val="13"/>
              <w:keepNext w:val="0"/>
              <w:keepLines w:val="0"/>
              <w:pageBreakBefore w:val="0"/>
              <w:widowControl w:val="0"/>
              <w:kinsoku/>
              <w:wordWrap/>
              <w:overflowPunct/>
              <w:topLinePunct w:val="0"/>
              <w:autoSpaceDE/>
              <w:bidi w:val="0"/>
              <w:adjustRightInd/>
              <w:snapToGrid/>
              <w:spacing w:line="460" w:lineRule="exact"/>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2、州企业服务中心</w:t>
            </w:r>
          </w:p>
        </w:tc>
        <w:tc>
          <w:tcPr>
            <w:tcW w:w="1248" w:type="dxa"/>
            <w:gridSpan w:val="2"/>
            <w:tcBorders>
              <w:right w:val="single" w:color="auto" w:sz="4" w:space="0"/>
            </w:tcBorders>
            <w:vAlign w:val="center"/>
          </w:tcPr>
          <w:p>
            <w:pPr>
              <w:keepNext w:val="0"/>
              <w:keepLines w:val="0"/>
              <w:pageBreakBefore w:val="0"/>
              <w:widowControl w:val="0"/>
              <w:kinsoku/>
              <w:wordWrap/>
              <w:overflowPunct/>
              <w:topLinePunct w:val="0"/>
              <w:autoSpaceDE/>
              <w:autoSpaceDN w:val="0"/>
              <w:bidi w:val="0"/>
              <w:adjustRightInd/>
              <w:snapToGrid/>
              <w:spacing w:line="460" w:lineRule="exact"/>
              <w:jc w:val="center"/>
              <w:textAlignment w:val="center"/>
              <w:rPr>
                <w:rFonts w:hint="default"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lang w:val="en-US" w:eastAsia="zh-CN"/>
              </w:rPr>
              <w:t>506.25</w:t>
            </w:r>
          </w:p>
        </w:tc>
        <w:tc>
          <w:tcPr>
            <w:tcW w:w="1037" w:type="dxa"/>
            <w:gridSpan w:val="2"/>
            <w:tcBorders>
              <w:left w:val="single" w:color="auto" w:sz="4" w:space="0"/>
            </w:tcBorders>
            <w:vAlign w:val="center"/>
          </w:tcPr>
          <w:p>
            <w:pPr>
              <w:keepNext w:val="0"/>
              <w:keepLines w:val="0"/>
              <w:pageBreakBefore w:val="0"/>
              <w:widowControl w:val="0"/>
              <w:kinsoku/>
              <w:wordWrap/>
              <w:overflowPunct/>
              <w:topLinePunct w:val="0"/>
              <w:autoSpaceDE/>
              <w:autoSpaceDN w:val="0"/>
              <w:bidi w:val="0"/>
              <w:adjustRightInd/>
              <w:snapToGrid/>
              <w:spacing w:line="460" w:lineRule="exact"/>
              <w:jc w:val="center"/>
              <w:textAlignment w:val="center"/>
              <w:rPr>
                <w:rFonts w:hint="default"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lang w:val="en-US" w:eastAsia="zh-CN"/>
              </w:rPr>
              <w:t>12.28</w:t>
            </w:r>
          </w:p>
        </w:tc>
        <w:tc>
          <w:tcPr>
            <w:tcW w:w="1097" w:type="dxa"/>
            <w:vAlign w:val="center"/>
          </w:tcPr>
          <w:p>
            <w:pPr>
              <w:keepNext w:val="0"/>
              <w:keepLines w:val="0"/>
              <w:pageBreakBefore w:val="0"/>
              <w:widowControl w:val="0"/>
              <w:kinsoku/>
              <w:wordWrap/>
              <w:overflowPunct/>
              <w:topLinePunct w:val="0"/>
              <w:autoSpaceDE/>
              <w:autoSpaceDN w:val="0"/>
              <w:bidi w:val="0"/>
              <w:adjustRightInd/>
              <w:snapToGrid/>
              <w:spacing w:line="460" w:lineRule="exact"/>
              <w:jc w:val="center"/>
              <w:textAlignment w:val="center"/>
              <w:rPr>
                <w:rFonts w:hint="default"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lang w:val="en-US" w:eastAsia="zh-CN"/>
              </w:rPr>
              <w:t>220.71</w:t>
            </w:r>
          </w:p>
        </w:tc>
        <w:tc>
          <w:tcPr>
            <w:tcW w:w="1428" w:type="dxa"/>
            <w:gridSpan w:val="2"/>
            <w:vAlign w:val="center"/>
          </w:tcPr>
          <w:p>
            <w:pPr>
              <w:keepNext w:val="0"/>
              <w:keepLines w:val="0"/>
              <w:pageBreakBefore w:val="0"/>
              <w:widowControl w:val="0"/>
              <w:kinsoku/>
              <w:wordWrap/>
              <w:overflowPunct/>
              <w:topLinePunct w:val="0"/>
              <w:autoSpaceDE/>
              <w:autoSpaceDN w:val="0"/>
              <w:bidi w:val="0"/>
              <w:adjustRightInd/>
              <w:snapToGrid/>
              <w:spacing w:line="460" w:lineRule="exact"/>
              <w:jc w:val="center"/>
              <w:textAlignment w:val="center"/>
              <w:rPr>
                <w:rFonts w:hint="eastAsia"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lang w:val="en-US" w:eastAsia="zh-CN"/>
              </w:rPr>
              <w:t>0</w:t>
            </w:r>
          </w:p>
        </w:tc>
        <w:tc>
          <w:tcPr>
            <w:tcW w:w="1118" w:type="dxa"/>
            <w:gridSpan w:val="2"/>
            <w:vAlign w:val="center"/>
          </w:tcPr>
          <w:p>
            <w:pPr>
              <w:keepNext w:val="0"/>
              <w:keepLines w:val="0"/>
              <w:pageBreakBefore w:val="0"/>
              <w:widowControl w:val="0"/>
              <w:kinsoku/>
              <w:wordWrap/>
              <w:overflowPunct/>
              <w:topLinePunct w:val="0"/>
              <w:autoSpaceDE/>
              <w:autoSpaceDN w:val="0"/>
              <w:bidi w:val="0"/>
              <w:adjustRightInd/>
              <w:snapToGrid/>
              <w:spacing w:line="460" w:lineRule="exact"/>
              <w:jc w:val="center"/>
              <w:textAlignment w:val="center"/>
              <w:rPr>
                <w:rFonts w:hint="default"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lang w:val="en-US" w:eastAsia="zh-CN"/>
              </w:rPr>
              <w:t>30.00</w:t>
            </w:r>
          </w:p>
        </w:tc>
        <w:tc>
          <w:tcPr>
            <w:tcW w:w="1943" w:type="dxa"/>
            <w:gridSpan w:val="3"/>
            <w:vAlign w:val="center"/>
          </w:tcPr>
          <w:p>
            <w:pPr>
              <w:keepNext w:val="0"/>
              <w:keepLines w:val="0"/>
              <w:pageBreakBefore w:val="0"/>
              <w:widowControl w:val="0"/>
              <w:kinsoku/>
              <w:wordWrap/>
              <w:overflowPunct/>
              <w:topLinePunct w:val="0"/>
              <w:autoSpaceDE/>
              <w:autoSpaceDN w:val="0"/>
              <w:bidi w:val="0"/>
              <w:adjustRightInd/>
              <w:snapToGrid/>
              <w:spacing w:line="460" w:lineRule="exact"/>
              <w:jc w:val="center"/>
              <w:textAlignment w:val="center"/>
              <w:rPr>
                <w:rFonts w:hint="default"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lang w:val="en-US" w:eastAsia="zh-CN"/>
              </w:rPr>
              <w:t>243.27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1057" w:hRule="atLeast"/>
          <w:jc w:val="center"/>
        </w:trPr>
        <w:tc>
          <w:tcPr>
            <w:tcW w:w="1409" w:type="dxa"/>
            <w:gridSpan w:val="3"/>
            <w:vAlign w:val="center"/>
          </w:tcPr>
          <w:p>
            <w:pPr>
              <w:pStyle w:val="13"/>
              <w:keepNext w:val="0"/>
              <w:keepLines w:val="0"/>
              <w:pageBreakBefore w:val="0"/>
              <w:widowControl w:val="0"/>
              <w:kinsoku/>
              <w:wordWrap/>
              <w:overflowPunct/>
              <w:topLinePunct w:val="0"/>
              <w:autoSpaceDE/>
              <w:bidi w:val="0"/>
              <w:adjustRightInd/>
              <w:snapToGrid/>
              <w:spacing w:line="460" w:lineRule="exact"/>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3、州墙体材料改革办公室</w:t>
            </w:r>
          </w:p>
        </w:tc>
        <w:tc>
          <w:tcPr>
            <w:tcW w:w="1248" w:type="dxa"/>
            <w:gridSpan w:val="2"/>
            <w:tcBorders>
              <w:right w:val="single" w:color="auto" w:sz="4" w:space="0"/>
            </w:tcBorders>
            <w:vAlign w:val="center"/>
          </w:tcPr>
          <w:p>
            <w:pPr>
              <w:keepNext w:val="0"/>
              <w:keepLines w:val="0"/>
              <w:pageBreakBefore w:val="0"/>
              <w:widowControl w:val="0"/>
              <w:kinsoku/>
              <w:wordWrap/>
              <w:overflowPunct/>
              <w:topLinePunct w:val="0"/>
              <w:autoSpaceDE/>
              <w:autoSpaceDN w:val="0"/>
              <w:bidi w:val="0"/>
              <w:adjustRightInd/>
              <w:snapToGrid/>
              <w:spacing w:line="460" w:lineRule="exact"/>
              <w:jc w:val="center"/>
              <w:textAlignment w:val="center"/>
              <w:rPr>
                <w:rFonts w:hint="default"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lang w:val="en-US" w:eastAsia="zh-CN"/>
              </w:rPr>
              <w:t>211.84</w:t>
            </w:r>
          </w:p>
        </w:tc>
        <w:tc>
          <w:tcPr>
            <w:tcW w:w="1037" w:type="dxa"/>
            <w:gridSpan w:val="2"/>
            <w:tcBorders>
              <w:left w:val="single" w:color="auto" w:sz="4" w:space="0"/>
            </w:tcBorders>
            <w:vAlign w:val="center"/>
          </w:tcPr>
          <w:p>
            <w:pPr>
              <w:keepNext w:val="0"/>
              <w:keepLines w:val="0"/>
              <w:pageBreakBefore w:val="0"/>
              <w:widowControl w:val="0"/>
              <w:kinsoku/>
              <w:wordWrap/>
              <w:overflowPunct/>
              <w:topLinePunct w:val="0"/>
              <w:autoSpaceDE/>
              <w:autoSpaceDN w:val="0"/>
              <w:bidi w:val="0"/>
              <w:adjustRightInd/>
              <w:snapToGrid/>
              <w:spacing w:line="460" w:lineRule="exact"/>
              <w:jc w:val="center"/>
              <w:textAlignment w:val="center"/>
              <w:rPr>
                <w:rFonts w:hint="default"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lang w:val="en-US" w:eastAsia="zh-CN"/>
              </w:rPr>
              <w:t>40.07</w:t>
            </w:r>
          </w:p>
        </w:tc>
        <w:tc>
          <w:tcPr>
            <w:tcW w:w="1097" w:type="dxa"/>
            <w:vAlign w:val="center"/>
          </w:tcPr>
          <w:p>
            <w:pPr>
              <w:keepNext w:val="0"/>
              <w:keepLines w:val="0"/>
              <w:pageBreakBefore w:val="0"/>
              <w:widowControl w:val="0"/>
              <w:kinsoku/>
              <w:wordWrap/>
              <w:overflowPunct/>
              <w:topLinePunct w:val="0"/>
              <w:autoSpaceDE/>
              <w:autoSpaceDN w:val="0"/>
              <w:bidi w:val="0"/>
              <w:adjustRightInd/>
              <w:snapToGrid/>
              <w:spacing w:line="460" w:lineRule="exact"/>
              <w:jc w:val="center"/>
              <w:textAlignment w:val="center"/>
              <w:rPr>
                <w:rFonts w:hint="default"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lang w:val="en-US" w:eastAsia="zh-CN"/>
              </w:rPr>
              <w:t>158.98</w:t>
            </w:r>
          </w:p>
        </w:tc>
        <w:tc>
          <w:tcPr>
            <w:tcW w:w="1428" w:type="dxa"/>
            <w:gridSpan w:val="2"/>
            <w:vAlign w:val="center"/>
          </w:tcPr>
          <w:p>
            <w:pPr>
              <w:keepNext w:val="0"/>
              <w:keepLines w:val="0"/>
              <w:pageBreakBefore w:val="0"/>
              <w:widowControl w:val="0"/>
              <w:kinsoku/>
              <w:wordWrap/>
              <w:overflowPunct/>
              <w:topLinePunct w:val="0"/>
              <w:autoSpaceDE/>
              <w:autoSpaceDN w:val="0"/>
              <w:bidi w:val="0"/>
              <w:adjustRightInd/>
              <w:snapToGrid/>
              <w:spacing w:line="460" w:lineRule="exact"/>
              <w:jc w:val="center"/>
              <w:textAlignment w:val="center"/>
              <w:rPr>
                <w:rFonts w:hint="eastAsia"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lang w:val="en-US" w:eastAsia="zh-CN"/>
              </w:rPr>
              <w:t>0</w:t>
            </w:r>
          </w:p>
        </w:tc>
        <w:tc>
          <w:tcPr>
            <w:tcW w:w="1118" w:type="dxa"/>
            <w:gridSpan w:val="2"/>
            <w:vAlign w:val="center"/>
          </w:tcPr>
          <w:p>
            <w:pPr>
              <w:keepNext w:val="0"/>
              <w:keepLines w:val="0"/>
              <w:pageBreakBefore w:val="0"/>
              <w:widowControl w:val="0"/>
              <w:kinsoku/>
              <w:wordWrap/>
              <w:overflowPunct/>
              <w:topLinePunct w:val="0"/>
              <w:autoSpaceDE/>
              <w:autoSpaceDN w:val="0"/>
              <w:bidi w:val="0"/>
              <w:adjustRightInd/>
              <w:snapToGrid/>
              <w:spacing w:line="460" w:lineRule="exact"/>
              <w:jc w:val="center"/>
              <w:textAlignment w:val="center"/>
              <w:rPr>
                <w:rFonts w:hint="default"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lang w:val="en-US" w:eastAsia="zh-CN"/>
              </w:rPr>
              <w:t>0</w:t>
            </w:r>
          </w:p>
        </w:tc>
        <w:tc>
          <w:tcPr>
            <w:tcW w:w="1943" w:type="dxa"/>
            <w:gridSpan w:val="3"/>
            <w:vAlign w:val="center"/>
          </w:tcPr>
          <w:p>
            <w:pPr>
              <w:keepNext w:val="0"/>
              <w:keepLines w:val="0"/>
              <w:pageBreakBefore w:val="0"/>
              <w:widowControl w:val="0"/>
              <w:kinsoku/>
              <w:wordWrap/>
              <w:overflowPunct/>
              <w:topLinePunct w:val="0"/>
              <w:autoSpaceDE/>
              <w:autoSpaceDN w:val="0"/>
              <w:bidi w:val="0"/>
              <w:adjustRightInd/>
              <w:snapToGrid/>
              <w:spacing w:line="460" w:lineRule="exact"/>
              <w:jc w:val="center"/>
              <w:textAlignment w:val="center"/>
              <w:rPr>
                <w:rFonts w:hint="eastAsia"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494" w:hRule="atLeast"/>
          <w:jc w:val="center"/>
        </w:trPr>
        <w:tc>
          <w:tcPr>
            <w:tcW w:w="1409" w:type="dxa"/>
            <w:gridSpan w:val="3"/>
            <w:vAlign w:val="center"/>
          </w:tcPr>
          <w:p>
            <w:pPr>
              <w:pStyle w:val="13"/>
              <w:keepNext w:val="0"/>
              <w:keepLines w:val="0"/>
              <w:pageBreakBefore w:val="0"/>
              <w:kinsoku/>
              <w:wordWrap/>
              <w:overflowPunct/>
              <w:topLinePunct w:val="0"/>
              <w:autoSpaceDE/>
              <w:bidi w:val="0"/>
              <w:adjustRightInd/>
              <w:spacing w:line="480" w:lineRule="exact"/>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4、州散装水泥办</w:t>
            </w:r>
          </w:p>
        </w:tc>
        <w:tc>
          <w:tcPr>
            <w:tcW w:w="1248" w:type="dxa"/>
            <w:gridSpan w:val="2"/>
            <w:tcBorders>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lang w:val="en-US" w:eastAsia="zh-CN"/>
              </w:rPr>
              <w:t>171.38</w:t>
            </w:r>
          </w:p>
        </w:tc>
        <w:tc>
          <w:tcPr>
            <w:tcW w:w="1037" w:type="dxa"/>
            <w:gridSpan w:val="2"/>
            <w:tcBorders>
              <w:lef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lang w:val="en-US" w:eastAsia="zh-CN"/>
              </w:rPr>
              <w:t>5.78</w:t>
            </w:r>
          </w:p>
        </w:tc>
        <w:tc>
          <w:tcPr>
            <w:tcW w:w="1097" w:type="dxa"/>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lang w:val="en-US" w:eastAsia="zh-CN"/>
              </w:rPr>
              <w:t>165.60</w:t>
            </w:r>
          </w:p>
        </w:tc>
        <w:tc>
          <w:tcPr>
            <w:tcW w:w="1428" w:type="dxa"/>
            <w:gridSpan w:val="2"/>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lang w:val="en-US" w:eastAsia="zh-CN"/>
              </w:rPr>
              <w:t>0</w:t>
            </w:r>
          </w:p>
        </w:tc>
        <w:tc>
          <w:tcPr>
            <w:tcW w:w="1118" w:type="dxa"/>
            <w:gridSpan w:val="2"/>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lang w:val="en-US" w:eastAsia="zh-CN"/>
              </w:rPr>
              <w:t>0</w:t>
            </w:r>
          </w:p>
        </w:tc>
        <w:tc>
          <w:tcPr>
            <w:tcW w:w="1943" w:type="dxa"/>
            <w:gridSpan w:val="3"/>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223" w:hRule="atLeast"/>
          <w:jc w:val="center"/>
        </w:trPr>
        <w:tc>
          <w:tcPr>
            <w:tcW w:w="9280" w:type="dxa"/>
            <w:gridSpan w:val="15"/>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b/>
                <w:bCs/>
                <w:color w:val="auto"/>
                <w:sz w:val="20"/>
                <w:szCs w:val="20"/>
                <w:highlight w:val="none"/>
              </w:rPr>
              <w:t>部门（单位）年度支出和结余情况（万元）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214" w:hRule="atLeast"/>
          <w:jc w:val="center"/>
        </w:trPr>
        <w:tc>
          <w:tcPr>
            <w:tcW w:w="1409" w:type="dxa"/>
            <w:gridSpan w:val="3"/>
            <w:vMerge w:val="restart"/>
            <w:vAlign w:val="center"/>
          </w:tcPr>
          <w:p>
            <w:pPr>
              <w:keepNext w:val="0"/>
              <w:keepLines w:val="0"/>
              <w:pageBreakBefore w:val="0"/>
              <w:kinsoku/>
              <w:wordWrap/>
              <w:overflowPunct/>
              <w:topLinePunct w:val="0"/>
              <w:autoSpaceDE/>
              <w:bidi w:val="0"/>
              <w:adjustRightInd/>
              <w:snapToGrid w:val="0"/>
              <w:spacing w:line="480" w:lineRule="exact"/>
              <w:jc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机构名称</w:t>
            </w:r>
          </w:p>
        </w:tc>
        <w:tc>
          <w:tcPr>
            <w:tcW w:w="1248" w:type="dxa"/>
            <w:gridSpan w:val="2"/>
            <w:vMerge w:val="restart"/>
            <w:tcBorders>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支出合计</w:t>
            </w:r>
          </w:p>
        </w:tc>
        <w:tc>
          <w:tcPr>
            <w:tcW w:w="4680" w:type="dxa"/>
            <w:gridSpan w:val="7"/>
            <w:tcBorders>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其中：</w:t>
            </w:r>
          </w:p>
        </w:tc>
        <w:tc>
          <w:tcPr>
            <w:tcW w:w="1943" w:type="dxa"/>
            <w:gridSpan w:val="3"/>
            <w:tcBorders>
              <w:left w:val="single" w:color="auto" w:sz="4" w:space="0"/>
              <w:bottom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结余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214" w:hRule="atLeast"/>
          <w:jc w:val="center"/>
        </w:trPr>
        <w:tc>
          <w:tcPr>
            <w:tcW w:w="1409" w:type="dxa"/>
            <w:gridSpan w:val="3"/>
            <w:vMerge w:val="continue"/>
            <w:vAlign w:val="center"/>
          </w:tcPr>
          <w:p>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sz w:val="20"/>
                <w:szCs w:val="20"/>
                <w:highlight w:val="none"/>
              </w:rPr>
            </w:pPr>
          </w:p>
        </w:tc>
        <w:tc>
          <w:tcPr>
            <w:tcW w:w="1248" w:type="dxa"/>
            <w:gridSpan w:val="2"/>
            <w:vMerge w:val="continue"/>
            <w:tcBorders>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rPr>
            </w:pPr>
          </w:p>
        </w:tc>
        <w:tc>
          <w:tcPr>
            <w:tcW w:w="1037" w:type="dxa"/>
            <w:gridSpan w:val="2"/>
            <w:vMerge w:val="restart"/>
            <w:tcBorders>
              <w:top w:val="single" w:color="auto" w:sz="4" w:space="0"/>
              <w:lef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基本支出</w:t>
            </w:r>
          </w:p>
        </w:tc>
        <w:tc>
          <w:tcPr>
            <w:tcW w:w="2470" w:type="dxa"/>
            <w:gridSpan w:val="2"/>
            <w:tcBorders>
              <w:top w:val="single" w:color="auto" w:sz="4" w:space="0"/>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其中：</w:t>
            </w:r>
          </w:p>
        </w:tc>
        <w:tc>
          <w:tcPr>
            <w:tcW w:w="1173" w:type="dxa"/>
            <w:gridSpan w:val="3"/>
            <w:vMerge w:val="restart"/>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项目支出</w:t>
            </w:r>
          </w:p>
        </w:tc>
        <w:tc>
          <w:tcPr>
            <w:tcW w:w="870" w:type="dxa"/>
            <w:gridSpan w:val="2"/>
            <w:vMerge w:val="restart"/>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当年结余</w:t>
            </w:r>
          </w:p>
        </w:tc>
        <w:tc>
          <w:tcPr>
            <w:tcW w:w="1073" w:type="dxa"/>
            <w:vMerge w:val="restart"/>
            <w:tcBorders>
              <w:top w:val="single" w:color="auto" w:sz="4" w:space="0"/>
              <w:lef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累计结余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214" w:hRule="atLeast"/>
          <w:jc w:val="center"/>
        </w:trPr>
        <w:tc>
          <w:tcPr>
            <w:tcW w:w="1409" w:type="dxa"/>
            <w:gridSpan w:val="3"/>
            <w:vMerge w:val="continue"/>
            <w:vAlign w:val="center"/>
          </w:tcPr>
          <w:p>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sz w:val="20"/>
                <w:szCs w:val="20"/>
                <w:highlight w:val="none"/>
              </w:rPr>
            </w:pPr>
          </w:p>
        </w:tc>
        <w:tc>
          <w:tcPr>
            <w:tcW w:w="1248" w:type="dxa"/>
            <w:gridSpan w:val="2"/>
            <w:vMerge w:val="continue"/>
            <w:tcBorders>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rPr>
            </w:pPr>
          </w:p>
        </w:tc>
        <w:tc>
          <w:tcPr>
            <w:tcW w:w="1037" w:type="dxa"/>
            <w:gridSpan w:val="2"/>
            <w:vMerge w:val="continue"/>
            <w:tcBorders>
              <w:lef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rPr>
            </w:pPr>
          </w:p>
        </w:tc>
        <w:tc>
          <w:tcPr>
            <w:tcW w:w="1097" w:type="dxa"/>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人员支出</w:t>
            </w:r>
          </w:p>
        </w:tc>
        <w:tc>
          <w:tcPr>
            <w:tcW w:w="1373" w:type="dxa"/>
            <w:tcBorders>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公用支出</w:t>
            </w:r>
          </w:p>
        </w:tc>
        <w:tc>
          <w:tcPr>
            <w:tcW w:w="1173" w:type="dxa"/>
            <w:gridSpan w:val="3"/>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rPr>
            </w:pPr>
          </w:p>
        </w:tc>
        <w:tc>
          <w:tcPr>
            <w:tcW w:w="870" w:type="dxa"/>
            <w:gridSpan w:val="2"/>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rPr>
            </w:pPr>
          </w:p>
        </w:tc>
        <w:tc>
          <w:tcPr>
            <w:tcW w:w="1073" w:type="dxa"/>
            <w:vMerge w:val="continue"/>
            <w:tcBorders>
              <w:lef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94" w:hRule="atLeast"/>
          <w:jc w:val="center"/>
        </w:trPr>
        <w:tc>
          <w:tcPr>
            <w:tcW w:w="1409" w:type="dxa"/>
            <w:gridSpan w:val="3"/>
            <w:vAlign w:val="bottom"/>
          </w:tcPr>
          <w:p>
            <w:pPr>
              <w:pStyle w:val="13"/>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局机关及二级机构汇总</w:t>
            </w:r>
          </w:p>
        </w:tc>
        <w:tc>
          <w:tcPr>
            <w:tcW w:w="1248" w:type="dxa"/>
            <w:gridSpan w:val="2"/>
            <w:tcBorders>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lang w:val="en-US" w:eastAsia="zh-CN"/>
              </w:rPr>
              <w:t>6568.82</w:t>
            </w:r>
          </w:p>
        </w:tc>
        <w:tc>
          <w:tcPr>
            <w:tcW w:w="1037" w:type="dxa"/>
            <w:gridSpan w:val="2"/>
            <w:tcBorders>
              <w:lef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lang w:val="en-US" w:eastAsia="zh-CN"/>
              </w:rPr>
              <w:t>2490.09</w:t>
            </w:r>
          </w:p>
        </w:tc>
        <w:tc>
          <w:tcPr>
            <w:tcW w:w="1097" w:type="dxa"/>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lang w:val="en-US" w:eastAsia="zh-CN"/>
              </w:rPr>
              <w:t>2119.96</w:t>
            </w:r>
          </w:p>
        </w:tc>
        <w:tc>
          <w:tcPr>
            <w:tcW w:w="1373" w:type="dxa"/>
            <w:tcBorders>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lang w:val="en-US" w:eastAsia="zh-CN"/>
              </w:rPr>
              <w:t>370.14</w:t>
            </w:r>
          </w:p>
        </w:tc>
        <w:tc>
          <w:tcPr>
            <w:tcW w:w="1173" w:type="dxa"/>
            <w:gridSpan w:val="3"/>
            <w:tcBorders>
              <w:lef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lang w:val="en-US" w:eastAsia="zh-CN"/>
              </w:rPr>
              <w:t>4078.15</w:t>
            </w:r>
          </w:p>
        </w:tc>
        <w:tc>
          <w:tcPr>
            <w:tcW w:w="870" w:type="dxa"/>
            <w:gridSpan w:val="2"/>
            <w:tcBorders>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lang w:val="en-US" w:eastAsia="zh-CN"/>
              </w:rPr>
              <w:t>-1349.94</w:t>
            </w:r>
          </w:p>
        </w:tc>
        <w:tc>
          <w:tcPr>
            <w:tcW w:w="1073" w:type="dxa"/>
            <w:tcBorders>
              <w:lef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lang w:val="en-US" w:eastAsia="zh-CN"/>
              </w:rPr>
              <w:t>452.48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284" w:hRule="atLeast"/>
          <w:jc w:val="center"/>
        </w:trPr>
        <w:tc>
          <w:tcPr>
            <w:tcW w:w="1409" w:type="dxa"/>
            <w:gridSpan w:val="3"/>
            <w:vAlign w:val="bottom"/>
          </w:tcPr>
          <w:p>
            <w:pPr>
              <w:pStyle w:val="13"/>
              <w:keepNext w:val="0"/>
              <w:keepLines w:val="0"/>
              <w:pageBreakBefore w:val="0"/>
              <w:kinsoku/>
              <w:wordWrap/>
              <w:overflowPunct/>
              <w:topLinePunct w:val="0"/>
              <w:autoSpaceDE/>
              <w:bidi w:val="0"/>
              <w:adjustRightInd/>
              <w:spacing w:line="480" w:lineRule="exact"/>
              <w:jc w:val="both"/>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1、本级机构</w:t>
            </w:r>
          </w:p>
        </w:tc>
        <w:tc>
          <w:tcPr>
            <w:tcW w:w="1248" w:type="dxa"/>
            <w:gridSpan w:val="2"/>
            <w:tcBorders>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lang w:val="en-US" w:eastAsia="zh-CN"/>
              </w:rPr>
              <w:t>5682.64</w:t>
            </w:r>
          </w:p>
        </w:tc>
        <w:tc>
          <w:tcPr>
            <w:tcW w:w="1037" w:type="dxa"/>
            <w:gridSpan w:val="2"/>
            <w:tcBorders>
              <w:lef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lang w:val="en-US" w:eastAsia="zh-CN"/>
              </w:rPr>
              <w:t>1934.66</w:t>
            </w:r>
          </w:p>
        </w:tc>
        <w:tc>
          <w:tcPr>
            <w:tcW w:w="1097" w:type="dxa"/>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lang w:val="en-US" w:eastAsia="zh-CN"/>
              </w:rPr>
              <w:t>1701.52</w:t>
            </w:r>
          </w:p>
        </w:tc>
        <w:tc>
          <w:tcPr>
            <w:tcW w:w="1373" w:type="dxa"/>
            <w:tcBorders>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lang w:val="en-US" w:eastAsia="zh-CN"/>
              </w:rPr>
              <w:t>233.14</w:t>
            </w:r>
          </w:p>
        </w:tc>
        <w:tc>
          <w:tcPr>
            <w:tcW w:w="1173" w:type="dxa"/>
            <w:gridSpan w:val="3"/>
            <w:tcBorders>
              <w:lef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lang w:val="en-US" w:eastAsia="zh-CN"/>
              </w:rPr>
              <w:t>3747.98</w:t>
            </w:r>
          </w:p>
        </w:tc>
        <w:tc>
          <w:tcPr>
            <w:tcW w:w="870" w:type="dxa"/>
            <w:gridSpan w:val="2"/>
            <w:tcBorders>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lang w:val="en-US" w:eastAsia="zh-CN"/>
              </w:rPr>
              <w:t>-1295.68</w:t>
            </w:r>
          </w:p>
        </w:tc>
        <w:tc>
          <w:tcPr>
            <w:tcW w:w="1073" w:type="dxa"/>
            <w:tcBorders>
              <w:lef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lang w:val="en-US" w:eastAsia="zh-CN"/>
              </w:rPr>
              <w:t>448.61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494" w:hRule="atLeast"/>
          <w:jc w:val="center"/>
        </w:trPr>
        <w:tc>
          <w:tcPr>
            <w:tcW w:w="1409" w:type="dxa"/>
            <w:gridSpan w:val="3"/>
            <w:vAlign w:val="bottom"/>
          </w:tcPr>
          <w:p>
            <w:pPr>
              <w:pStyle w:val="13"/>
              <w:keepNext w:val="0"/>
              <w:keepLines w:val="0"/>
              <w:pageBreakBefore w:val="0"/>
              <w:kinsoku/>
              <w:wordWrap/>
              <w:overflowPunct/>
              <w:topLinePunct w:val="0"/>
              <w:autoSpaceDE/>
              <w:bidi w:val="0"/>
              <w:adjustRightInd/>
              <w:spacing w:line="480" w:lineRule="exact"/>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2、州企业服务中心</w:t>
            </w:r>
          </w:p>
        </w:tc>
        <w:tc>
          <w:tcPr>
            <w:tcW w:w="1248" w:type="dxa"/>
            <w:gridSpan w:val="2"/>
            <w:tcBorders>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lang w:val="en-US" w:eastAsia="zh-CN"/>
              </w:rPr>
              <w:t>502.38</w:t>
            </w:r>
          </w:p>
        </w:tc>
        <w:tc>
          <w:tcPr>
            <w:tcW w:w="1037" w:type="dxa"/>
            <w:gridSpan w:val="2"/>
            <w:tcBorders>
              <w:lef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lang w:val="en-US" w:eastAsia="zh-CN"/>
              </w:rPr>
              <w:t>204.92</w:t>
            </w:r>
          </w:p>
        </w:tc>
        <w:tc>
          <w:tcPr>
            <w:tcW w:w="1097" w:type="dxa"/>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lang w:val="en-US" w:eastAsia="zh-CN"/>
              </w:rPr>
              <w:t>186.18</w:t>
            </w:r>
          </w:p>
        </w:tc>
        <w:tc>
          <w:tcPr>
            <w:tcW w:w="1373" w:type="dxa"/>
            <w:tcBorders>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lang w:val="en-US" w:eastAsia="zh-CN"/>
              </w:rPr>
              <w:t>18.73</w:t>
            </w:r>
          </w:p>
        </w:tc>
        <w:tc>
          <w:tcPr>
            <w:tcW w:w="1173" w:type="dxa"/>
            <w:gridSpan w:val="3"/>
            <w:tcBorders>
              <w:lef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lang w:val="en-US" w:eastAsia="zh-CN"/>
              </w:rPr>
              <w:t>297.46</w:t>
            </w:r>
          </w:p>
        </w:tc>
        <w:tc>
          <w:tcPr>
            <w:tcW w:w="870" w:type="dxa"/>
            <w:gridSpan w:val="2"/>
            <w:tcBorders>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lang w:val="en-US" w:eastAsia="zh-CN"/>
              </w:rPr>
              <w:t>-8.41</w:t>
            </w:r>
          </w:p>
        </w:tc>
        <w:tc>
          <w:tcPr>
            <w:tcW w:w="1073" w:type="dxa"/>
            <w:tcBorders>
              <w:lef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lang w:val="en-US" w:eastAsia="zh-CN"/>
              </w:rPr>
              <w:t>3.87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494" w:hRule="atLeast"/>
          <w:jc w:val="center"/>
        </w:trPr>
        <w:tc>
          <w:tcPr>
            <w:tcW w:w="1409" w:type="dxa"/>
            <w:gridSpan w:val="3"/>
            <w:vAlign w:val="bottom"/>
          </w:tcPr>
          <w:p>
            <w:pPr>
              <w:pStyle w:val="13"/>
              <w:keepNext w:val="0"/>
              <w:keepLines w:val="0"/>
              <w:pageBreakBefore w:val="0"/>
              <w:kinsoku/>
              <w:wordWrap/>
              <w:overflowPunct/>
              <w:topLinePunct w:val="0"/>
              <w:autoSpaceDE/>
              <w:bidi w:val="0"/>
              <w:adjustRightInd/>
              <w:spacing w:line="480" w:lineRule="exact"/>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3、州墙体材料改革办公室</w:t>
            </w:r>
          </w:p>
        </w:tc>
        <w:tc>
          <w:tcPr>
            <w:tcW w:w="1248" w:type="dxa"/>
            <w:gridSpan w:val="2"/>
            <w:tcBorders>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lang w:val="en-US" w:eastAsia="zh-CN"/>
              </w:rPr>
              <w:t>211.84</w:t>
            </w:r>
          </w:p>
        </w:tc>
        <w:tc>
          <w:tcPr>
            <w:tcW w:w="1037" w:type="dxa"/>
            <w:gridSpan w:val="2"/>
            <w:tcBorders>
              <w:lef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lang w:val="en-US" w:eastAsia="zh-CN"/>
              </w:rPr>
              <w:t>211.84</w:t>
            </w:r>
          </w:p>
        </w:tc>
        <w:tc>
          <w:tcPr>
            <w:tcW w:w="1097" w:type="dxa"/>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lang w:val="en-US" w:eastAsia="zh-CN"/>
              </w:rPr>
              <w:t>104.90</w:t>
            </w:r>
          </w:p>
        </w:tc>
        <w:tc>
          <w:tcPr>
            <w:tcW w:w="1373" w:type="dxa"/>
            <w:tcBorders>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lang w:val="en-US" w:eastAsia="zh-CN"/>
              </w:rPr>
              <w:t>106.95</w:t>
            </w:r>
          </w:p>
        </w:tc>
        <w:tc>
          <w:tcPr>
            <w:tcW w:w="1173" w:type="dxa"/>
            <w:gridSpan w:val="3"/>
            <w:tcBorders>
              <w:lef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lang w:val="en-US" w:eastAsia="zh-CN"/>
              </w:rPr>
              <w:t>0</w:t>
            </w:r>
          </w:p>
        </w:tc>
        <w:tc>
          <w:tcPr>
            <w:tcW w:w="870" w:type="dxa"/>
            <w:gridSpan w:val="2"/>
            <w:tcBorders>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lang w:val="en-US" w:eastAsia="zh-CN"/>
              </w:rPr>
              <w:t>-40.07</w:t>
            </w:r>
          </w:p>
        </w:tc>
        <w:tc>
          <w:tcPr>
            <w:tcW w:w="1073" w:type="dxa"/>
            <w:tcBorders>
              <w:lef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494" w:hRule="atLeast"/>
          <w:jc w:val="center"/>
        </w:trPr>
        <w:tc>
          <w:tcPr>
            <w:tcW w:w="1409" w:type="dxa"/>
            <w:gridSpan w:val="3"/>
            <w:vAlign w:val="bottom"/>
          </w:tcPr>
          <w:p>
            <w:pPr>
              <w:pStyle w:val="13"/>
              <w:keepNext w:val="0"/>
              <w:keepLines w:val="0"/>
              <w:pageBreakBefore w:val="0"/>
              <w:kinsoku/>
              <w:wordWrap/>
              <w:overflowPunct/>
              <w:topLinePunct w:val="0"/>
              <w:autoSpaceDE/>
              <w:bidi w:val="0"/>
              <w:adjustRightInd/>
              <w:spacing w:line="480" w:lineRule="exact"/>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4、州散装水泥办</w:t>
            </w:r>
          </w:p>
        </w:tc>
        <w:tc>
          <w:tcPr>
            <w:tcW w:w="1248" w:type="dxa"/>
            <w:gridSpan w:val="2"/>
            <w:tcBorders>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lang w:val="en-US" w:eastAsia="zh-CN"/>
              </w:rPr>
              <w:t>171.38</w:t>
            </w:r>
          </w:p>
        </w:tc>
        <w:tc>
          <w:tcPr>
            <w:tcW w:w="1037" w:type="dxa"/>
            <w:gridSpan w:val="2"/>
            <w:tcBorders>
              <w:lef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lang w:val="en-US" w:eastAsia="zh-CN"/>
              </w:rPr>
              <w:t>138.68</w:t>
            </w:r>
          </w:p>
        </w:tc>
        <w:tc>
          <w:tcPr>
            <w:tcW w:w="1097" w:type="dxa"/>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lang w:val="en-US" w:eastAsia="zh-CN"/>
              </w:rPr>
              <w:t>127.36</w:t>
            </w:r>
          </w:p>
        </w:tc>
        <w:tc>
          <w:tcPr>
            <w:tcW w:w="1373" w:type="dxa"/>
            <w:tcBorders>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lang w:val="en-US" w:eastAsia="zh-CN"/>
              </w:rPr>
              <w:t>11.32</w:t>
            </w:r>
          </w:p>
        </w:tc>
        <w:tc>
          <w:tcPr>
            <w:tcW w:w="1173" w:type="dxa"/>
            <w:gridSpan w:val="3"/>
            <w:tcBorders>
              <w:lef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lang w:val="en-US" w:eastAsia="zh-CN"/>
              </w:rPr>
              <w:t>32.70</w:t>
            </w:r>
          </w:p>
        </w:tc>
        <w:tc>
          <w:tcPr>
            <w:tcW w:w="870" w:type="dxa"/>
            <w:gridSpan w:val="2"/>
            <w:tcBorders>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lang w:val="en-US" w:eastAsia="zh-CN"/>
              </w:rPr>
              <w:t>-5.78</w:t>
            </w:r>
          </w:p>
        </w:tc>
        <w:tc>
          <w:tcPr>
            <w:tcW w:w="1073" w:type="dxa"/>
            <w:tcBorders>
              <w:lef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214" w:hRule="atLeast"/>
          <w:jc w:val="center"/>
        </w:trPr>
        <w:tc>
          <w:tcPr>
            <w:tcW w:w="1409" w:type="dxa"/>
            <w:gridSpan w:val="3"/>
            <w:vMerge w:val="restart"/>
            <w:vAlign w:val="center"/>
          </w:tcPr>
          <w:p>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机构名称</w:t>
            </w:r>
          </w:p>
        </w:tc>
        <w:tc>
          <w:tcPr>
            <w:tcW w:w="1248" w:type="dxa"/>
            <w:gridSpan w:val="2"/>
            <w:vMerge w:val="restart"/>
            <w:tcBorders>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三公经费</w:t>
            </w:r>
          </w:p>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合计</w:t>
            </w:r>
          </w:p>
        </w:tc>
        <w:tc>
          <w:tcPr>
            <w:tcW w:w="6623" w:type="dxa"/>
            <w:gridSpan w:val="10"/>
            <w:tcBorders>
              <w:lef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其中：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4" w:hRule="atLeast"/>
          <w:jc w:val="center"/>
        </w:trPr>
        <w:tc>
          <w:tcPr>
            <w:tcW w:w="1409" w:type="dxa"/>
            <w:gridSpan w:val="3"/>
            <w:vMerge w:val="continue"/>
            <w:vAlign w:val="bottom"/>
          </w:tcPr>
          <w:p>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sz w:val="20"/>
                <w:szCs w:val="20"/>
                <w:highlight w:val="none"/>
              </w:rPr>
            </w:pPr>
          </w:p>
        </w:tc>
        <w:tc>
          <w:tcPr>
            <w:tcW w:w="1248" w:type="dxa"/>
            <w:gridSpan w:val="2"/>
            <w:vMerge w:val="continue"/>
            <w:tcBorders>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rPr>
            </w:pPr>
          </w:p>
        </w:tc>
        <w:tc>
          <w:tcPr>
            <w:tcW w:w="1037" w:type="dxa"/>
            <w:gridSpan w:val="2"/>
            <w:tcBorders>
              <w:lef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公务接待费</w:t>
            </w:r>
          </w:p>
        </w:tc>
        <w:tc>
          <w:tcPr>
            <w:tcW w:w="1097" w:type="dxa"/>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公务用车运行维护费</w:t>
            </w:r>
          </w:p>
        </w:tc>
        <w:tc>
          <w:tcPr>
            <w:tcW w:w="1428" w:type="dxa"/>
            <w:gridSpan w:val="2"/>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公务用车购置费</w:t>
            </w:r>
          </w:p>
        </w:tc>
        <w:tc>
          <w:tcPr>
            <w:tcW w:w="3061" w:type="dxa"/>
            <w:gridSpan w:val="5"/>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因公出国（境）费用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494" w:hRule="atLeast"/>
          <w:jc w:val="center"/>
        </w:trPr>
        <w:tc>
          <w:tcPr>
            <w:tcW w:w="1409" w:type="dxa"/>
            <w:gridSpan w:val="3"/>
            <w:vAlign w:val="bottom"/>
          </w:tcPr>
          <w:p>
            <w:pPr>
              <w:pStyle w:val="13"/>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局机关及二级机构汇总</w:t>
            </w:r>
          </w:p>
        </w:tc>
        <w:tc>
          <w:tcPr>
            <w:tcW w:w="1248" w:type="dxa"/>
            <w:gridSpan w:val="2"/>
            <w:tcBorders>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lang w:val="en-US" w:eastAsia="zh-CN"/>
              </w:rPr>
              <w:t>14.02</w:t>
            </w:r>
          </w:p>
        </w:tc>
        <w:tc>
          <w:tcPr>
            <w:tcW w:w="1037" w:type="dxa"/>
            <w:gridSpan w:val="2"/>
            <w:tcBorders>
              <w:lef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lang w:val="en-US" w:eastAsia="zh-CN"/>
              </w:rPr>
              <w:t>2.52</w:t>
            </w:r>
          </w:p>
        </w:tc>
        <w:tc>
          <w:tcPr>
            <w:tcW w:w="1097" w:type="dxa"/>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lang w:val="en-US" w:eastAsia="zh-CN"/>
              </w:rPr>
              <w:t>11.50</w:t>
            </w:r>
          </w:p>
        </w:tc>
        <w:tc>
          <w:tcPr>
            <w:tcW w:w="1428" w:type="dxa"/>
            <w:gridSpan w:val="2"/>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0</w:t>
            </w:r>
          </w:p>
        </w:tc>
        <w:tc>
          <w:tcPr>
            <w:tcW w:w="3061" w:type="dxa"/>
            <w:gridSpan w:val="5"/>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4" w:hRule="atLeast"/>
          <w:jc w:val="center"/>
        </w:trPr>
        <w:tc>
          <w:tcPr>
            <w:tcW w:w="1409" w:type="dxa"/>
            <w:gridSpan w:val="3"/>
            <w:vAlign w:val="bottom"/>
          </w:tcPr>
          <w:p>
            <w:pPr>
              <w:pStyle w:val="13"/>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1、本级机构</w:t>
            </w:r>
          </w:p>
        </w:tc>
        <w:tc>
          <w:tcPr>
            <w:tcW w:w="1248" w:type="dxa"/>
            <w:gridSpan w:val="2"/>
            <w:tcBorders>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lang w:val="en-US" w:eastAsia="zh-CN"/>
              </w:rPr>
              <w:t>13.48</w:t>
            </w:r>
          </w:p>
        </w:tc>
        <w:tc>
          <w:tcPr>
            <w:tcW w:w="1037" w:type="dxa"/>
            <w:gridSpan w:val="2"/>
            <w:tcBorders>
              <w:lef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lang w:val="en-US" w:eastAsia="zh-CN"/>
              </w:rPr>
              <w:t>1.98</w:t>
            </w:r>
          </w:p>
        </w:tc>
        <w:tc>
          <w:tcPr>
            <w:tcW w:w="1097" w:type="dxa"/>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lang w:val="en-US" w:eastAsia="zh-CN"/>
              </w:rPr>
              <w:t>11.50</w:t>
            </w:r>
          </w:p>
        </w:tc>
        <w:tc>
          <w:tcPr>
            <w:tcW w:w="1428" w:type="dxa"/>
            <w:gridSpan w:val="2"/>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0</w:t>
            </w:r>
          </w:p>
        </w:tc>
        <w:tc>
          <w:tcPr>
            <w:tcW w:w="3061" w:type="dxa"/>
            <w:gridSpan w:val="5"/>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494" w:hRule="atLeast"/>
          <w:jc w:val="center"/>
        </w:trPr>
        <w:tc>
          <w:tcPr>
            <w:tcW w:w="1409" w:type="dxa"/>
            <w:gridSpan w:val="3"/>
            <w:vAlign w:val="bottom"/>
          </w:tcPr>
          <w:p>
            <w:pPr>
              <w:pStyle w:val="13"/>
              <w:keepNext w:val="0"/>
              <w:keepLines w:val="0"/>
              <w:pageBreakBefore w:val="0"/>
              <w:kinsoku/>
              <w:wordWrap/>
              <w:overflowPunct/>
              <w:topLinePunct w:val="0"/>
              <w:autoSpaceDE/>
              <w:bidi w:val="0"/>
              <w:adjustRightInd/>
              <w:spacing w:line="480" w:lineRule="exact"/>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 xml:space="preserve">  2、州企业服务中心</w:t>
            </w:r>
          </w:p>
        </w:tc>
        <w:tc>
          <w:tcPr>
            <w:tcW w:w="1248" w:type="dxa"/>
            <w:gridSpan w:val="2"/>
            <w:tcBorders>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lang w:val="en-US" w:eastAsia="zh-CN"/>
              </w:rPr>
              <w:t>0.11</w:t>
            </w:r>
          </w:p>
        </w:tc>
        <w:tc>
          <w:tcPr>
            <w:tcW w:w="1037" w:type="dxa"/>
            <w:gridSpan w:val="2"/>
            <w:tcBorders>
              <w:lef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lang w:val="en-US" w:eastAsia="zh-CN"/>
              </w:rPr>
              <w:t>0.11</w:t>
            </w:r>
          </w:p>
        </w:tc>
        <w:tc>
          <w:tcPr>
            <w:tcW w:w="1097" w:type="dxa"/>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lang w:val="en-US" w:eastAsia="zh-CN"/>
              </w:rPr>
              <w:t>0</w:t>
            </w:r>
          </w:p>
        </w:tc>
        <w:tc>
          <w:tcPr>
            <w:tcW w:w="1428" w:type="dxa"/>
            <w:gridSpan w:val="2"/>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lang w:val="en-US" w:eastAsia="zh-CN"/>
              </w:rPr>
              <w:t>0</w:t>
            </w:r>
          </w:p>
        </w:tc>
        <w:tc>
          <w:tcPr>
            <w:tcW w:w="3061" w:type="dxa"/>
            <w:gridSpan w:val="5"/>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494" w:hRule="atLeast"/>
          <w:jc w:val="center"/>
        </w:trPr>
        <w:tc>
          <w:tcPr>
            <w:tcW w:w="1409" w:type="dxa"/>
            <w:gridSpan w:val="3"/>
            <w:vAlign w:val="bottom"/>
          </w:tcPr>
          <w:p>
            <w:pPr>
              <w:pStyle w:val="13"/>
              <w:keepNext w:val="0"/>
              <w:keepLines w:val="0"/>
              <w:pageBreakBefore w:val="0"/>
              <w:kinsoku/>
              <w:wordWrap/>
              <w:overflowPunct/>
              <w:topLinePunct w:val="0"/>
              <w:autoSpaceDE/>
              <w:bidi w:val="0"/>
              <w:adjustRightInd/>
              <w:spacing w:line="480" w:lineRule="exact"/>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 xml:space="preserve">  3、州墙体材料改革办公室</w:t>
            </w:r>
          </w:p>
        </w:tc>
        <w:tc>
          <w:tcPr>
            <w:tcW w:w="1248" w:type="dxa"/>
            <w:gridSpan w:val="2"/>
            <w:tcBorders>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lang w:val="en-US" w:eastAsia="zh-CN"/>
              </w:rPr>
              <w:t>0.36</w:t>
            </w:r>
          </w:p>
        </w:tc>
        <w:tc>
          <w:tcPr>
            <w:tcW w:w="1037" w:type="dxa"/>
            <w:gridSpan w:val="2"/>
            <w:tcBorders>
              <w:lef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lang w:val="en-US" w:eastAsia="zh-CN"/>
              </w:rPr>
              <w:t>0.36</w:t>
            </w:r>
          </w:p>
        </w:tc>
        <w:tc>
          <w:tcPr>
            <w:tcW w:w="1097" w:type="dxa"/>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lang w:val="en-US" w:eastAsia="zh-CN"/>
              </w:rPr>
              <w:t>0</w:t>
            </w:r>
          </w:p>
        </w:tc>
        <w:tc>
          <w:tcPr>
            <w:tcW w:w="1428" w:type="dxa"/>
            <w:gridSpan w:val="2"/>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lang w:val="en-US" w:eastAsia="zh-CN"/>
              </w:rPr>
              <w:t>0</w:t>
            </w:r>
          </w:p>
        </w:tc>
        <w:tc>
          <w:tcPr>
            <w:tcW w:w="3061" w:type="dxa"/>
            <w:gridSpan w:val="5"/>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94" w:hRule="atLeast"/>
          <w:jc w:val="center"/>
        </w:trPr>
        <w:tc>
          <w:tcPr>
            <w:tcW w:w="1409" w:type="dxa"/>
            <w:gridSpan w:val="3"/>
            <w:vAlign w:val="bottom"/>
          </w:tcPr>
          <w:p>
            <w:pPr>
              <w:pStyle w:val="13"/>
              <w:keepNext w:val="0"/>
              <w:keepLines w:val="0"/>
              <w:pageBreakBefore w:val="0"/>
              <w:kinsoku/>
              <w:wordWrap/>
              <w:overflowPunct/>
              <w:topLinePunct w:val="0"/>
              <w:autoSpaceDE/>
              <w:bidi w:val="0"/>
              <w:adjustRightInd/>
              <w:spacing w:line="480" w:lineRule="exact"/>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 xml:space="preserve"> 4、州散装水泥办</w:t>
            </w:r>
          </w:p>
        </w:tc>
        <w:tc>
          <w:tcPr>
            <w:tcW w:w="1248" w:type="dxa"/>
            <w:gridSpan w:val="2"/>
            <w:tcBorders>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lang w:val="en-US" w:eastAsia="zh-CN"/>
              </w:rPr>
              <w:t>0.07</w:t>
            </w:r>
          </w:p>
        </w:tc>
        <w:tc>
          <w:tcPr>
            <w:tcW w:w="1037" w:type="dxa"/>
            <w:gridSpan w:val="2"/>
            <w:tcBorders>
              <w:lef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lang w:val="en-US" w:eastAsia="zh-CN"/>
              </w:rPr>
              <w:t xml:space="preserve">0.07 </w:t>
            </w:r>
          </w:p>
        </w:tc>
        <w:tc>
          <w:tcPr>
            <w:tcW w:w="1097" w:type="dxa"/>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lang w:val="en-US" w:eastAsia="zh-CN"/>
              </w:rPr>
              <w:t>0</w:t>
            </w:r>
          </w:p>
        </w:tc>
        <w:tc>
          <w:tcPr>
            <w:tcW w:w="1428" w:type="dxa"/>
            <w:gridSpan w:val="2"/>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lang w:val="en-US" w:eastAsia="zh-CN"/>
              </w:rPr>
              <w:t>0</w:t>
            </w:r>
          </w:p>
        </w:tc>
        <w:tc>
          <w:tcPr>
            <w:tcW w:w="3061" w:type="dxa"/>
            <w:gridSpan w:val="5"/>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231" w:hRule="atLeast"/>
          <w:jc w:val="center"/>
        </w:trPr>
        <w:tc>
          <w:tcPr>
            <w:tcW w:w="1409" w:type="dxa"/>
            <w:gridSpan w:val="3"/>
            <w:vMerge w:val="restart"/>
            <w:vAlign w:val="center"/>
          </w:tcPr>
          <w:p>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机构名称</w:t>
            </w:r>
          </w:p>
        </w:tc>
        <w:tc>
          <w:tcPr>
            <w:tcW w:w="1248" w:type="dxa"/>
            <w:gridSpan w:val="2"/>
            <w:vMerge w:val="restart"/>
            <w:tcBorders>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固定资产</w:t>
            </w:r>
          </w:p>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合计</w:t>
            </w:r>
          </w:p>
        </w:tc>
        <w:tc>
          <w:tcPr>
            <w:tcW w:w="6623" w:type="dxa"/>
            <w:gridSpan w:val="10"/>
            <w:tcBorders>
              <w:lef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ind w:firstLine="1800" w:firstLineChars="900"/>
              <w:jc w:val="center"/>
              <w:textAlignment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其中：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214" w:hRule="atLeast"/>
          <w:jc w:val="center"/>
        </w:trPr>
        <w:tc>
          <w:tcPr>
            <w:tcW w:w="1409" w:type="dxa"/>
            <w:gridSpan w:val="3"/>
            <w:vMerge w:val="continue"/>
            <w:vAlign w:val="bottom"/>
          </w:tcPr>
          <w:p>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sz w:val="20"/>
                <w:szCs w:val="20"/>
                <w:highlight w:val="none"/>
              </w:rPr>
            </w:pPr>
          </w:p>
        </w:tc>
        <w:tc>
          <w:tcPr>
            <w:tcW w:w="1248" w:type="dxa"/>
            <w:gridSpan w:val="2"/>
            <w:vMerge w:val="continue"/>
            <w:tcBorders>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rPr>
            </w:pPr>
          </w:p>
        </w:tc>
        <w:tc>
          <w:tcPr>
            <w:tcW w:w="2134" w:type="dxa"/>
            <w:gridSpan w:val="3"/>
            <w:tcBorders>
              <w:lef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在用固定资产</w:t>
            </w:r>
          </w:p>
        </w:tc>
        <w:tc>
          <w:tcPr>
            <w:tcW w:w="1627" w:type="dxa"/>
            <w:gridSpan w:val="3"/>
            <w:tcBorders>
              <w:top w:val="single" w:color="auto" w:sz="4" w:space="0"/>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出租固定资产</w:t>
            </w:r>
          </w:p>
        </w:tc>
        <w:tc>
          <w:tcPr>
            <w:tcW w:w="2862" w:type="dxa"/>
            <w:gridSpan w:val="4"/>
            <w:tcBorders>
              <w:top w:val="single" w:color="auto" w:sz="4" w:space="0"/>
              <w:lef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1035" w:hRule="atLeast"/>
          <w:jc w:val="center"/>
        </w:trPr>
        <w:tc>
          <w:tcPr>
            <w:tcW w:w="1409" w:type="dxa"/>
            <w:gridSpan w:val="3"/>
            <w:vAlign w:val="bottom"/>
          </w:tcPr>
          <w:p>
            <w:pPr>
              <w:pStyle w:val="13"/>
              <w:keepNext w:val="0"/>
              <w:keepLines w:val="0"/>
              <w:pageBreakBefore w:val="0"/>
              <w:kinsoku/>
              <w:wordWrap/>
              <w:overflowPunct/>
              <w:topLinePunct w:val="0"/>
              <w:autoSpaceDE/>
              <w:bidi w:val="0"/>
              <w:adjustRightInd/>
              <w:spacing w:line="480" w:lineRule="exact"/>
              <w:jc w:val="left"/>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局机关及二级机构汇总</w:t>
            </w:r>
          </w:p>
        </w:tc>
        <w:tc>
          <w:tcPr>
            <w:tcW w:w="1248" w:type="dxa"/>
            <w:gridSpan w:val="2"/>
            <w:tcBorders>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lang w:val="en-US" w:eastAsia="zh-CN"/>
              </w:rPr>
              <w:t>1408.94</w:t>
            </w:r>
          </w:p>
        </w:tc>
        <w:tc>
          <w:tcPr>
            <w:tcW w:w="2134" w:type="dxa"/>
            <w:gridSpan w:val="3"/>
            <w:tcBorders>
              <w:lef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lang w:val="en-US" w:eastAsia="zh-CN"/>
              </w:rPr>
              <w:t>1408.94</w:t>
            </w:r>
          </w:p>
        </w:tc>
        <w:tc>
          <w:tcPr>
            <w:tcW w:w="1627" w:type="dxa"/>
            <w:gridSpan w:val="3"/>
            <w:tcBorders>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0</w:t>
            </w:r>
          </w:p>
        </w:tc>
        <w:tc>
          <w:tcPr>
            <w:tcW w:w="2862" w:type="dxa"/>
            <w:gridSpan w:val="4"/>
            <w:tcBorders>
              <w:lef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284" w:hRule="atLeast"/>
          <w:jc w:val="center"/>
        </w:trPr>
        <w:tc>
          <w:tcPr>
            <w:tcW w:w="1409" w:type="dxa"/>
            <w:gridSpan w:val="3"/>
            <w:vAlign w:val="center"/>
          </w:tcPr>
          <w:p>
            <w:pPr>
              <w:pStyle w:val="13"/>
              <w:keepNext w:val="0"/>
              <w:keepLines w:val="0"/>
              <w:pageBreakBefore w:val="0"/>
              <w:kinsoku/>
              <w:wordWrap/>
              <w:overflowPunct/>
              <w:topLinePunct w:val="0"/>
              <w:autoSpaceDE/>
              <w:bidi w:val="0"/>
              <w:adjustRightInd/>
              <w:spacing w:line="480" w:lineRule="exact"/>
              <w:jc w:val="left"/>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1、本级机构</w:t>
            </w:r>
          </w:p>
        </w:tc>
        <w:tc>
          <w:tcPr>
            <w:tcW w:w="1248" w:type="dxa"/>
            <w:gridSpan w:val="2"/>
            <w:tcBorders>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lang w:val="en-US" w:eastAsia="zh-CN"/>
              </w:rPr>
              <w:t>1254.52</w:t>
            </w:r>
          </w:p>
        </w:tc>
        <w:tc>
          <w:tcPr>
            <w:tcW w:w="2134" w:type="dxa"/>
            <w:gridSpan w:val="3"/>
            <w:tcBorders>
              <w:lef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lang w:val="en-US" w:eastAsia="zh-CN"/>
              </w:rPr>
              <w:t>1254.52</w:t>
            </w:r>
          </w:p>
        </w:tc>
        <w:tc>
          <w:tcPr>
            <w:tcW w:w="1627" w:type="dxa"/>
            <w:gridSpan w:val="3"/>
            <w:tcBorders>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0</w:t>
            </w:r>
          </w:p>
        </w:tc>
        <w:tc>
          <w:tcPr>
            <w:tcW w:w="2862" w:type="dxa"/>
            <w:gridSpan w:val="4"/>
            <w:tcBorders>
              <w:lef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94" w:hRule="atLeast"/>
          <w:jc w:val="center"/>
        </w:trPr>
        <w:tc>
          <w:tcPr>
            <w:tcW w:w="1409" w:type="dxa"/>
            <w:gridSpan w:val="3"/>
            <w:vAlign w:val="center"/>
          </w:tcPr>
          <w:p>
            <w:pPr>
              <w:pStyle w:val="13"/>
              <w:keepNext w:val="0"/>
              <w:keepLines w:val="0"/>
              <w:pageBreakBefore w:val="0"/>
              <w:kinsoku/>
              <w:wordWrap/>
              <w:overflowPunct/>
              <w:topLinePunct w:val="0"/>
              <w:autoSpaceDE/>
              <w:bidi w:val="0"/>
              <w:adjustRightInd/>
              <w:spacing w:line="480" w:lineRule="exact"/>
              <w:jc w:val="left"/>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2、州企业服务中心</w:t>
            </w:r>
          </w:p>
        </w:tc>
        <w:tc>
          <w:tcPr>
            <w:tcW w:w="1248" w:type="dxa"/>
            <w:gridSpan w:val="2"/>
            <w:tcBorders>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lang w:val="en-US" w:eastAsia="zh-CN"/>
              </w:rPr>
              <w:t>112.81</w:t>
            </w:r>
          </w:p>
        </w:tc>
        <w:tc>
          <w:tcPr>
            <w:tcW w:w="2134" w:type="dxa"/>
            <w:gridSpan w:val="3"/>
            <w:tcBorders>
              <w:lef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lang w:val="en-US" w:eastAsia="zh-CN"/>
              </w:rPr>
              <w:t>112.81</w:t>
            </w:r>
          </w:p>
        </w:tc>
        <w:tc>
          <w:tcPr>
            <w:tcW w:w="1627" w:type="dxa"/>
            <w:gridSpan w:val="3"/>
            <w:tcBorders>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lang w:val="en-US"/>
              </w:rPr>
            </w:pPr>
            <w:r>
              <w:rPr>
                <w:rFonts w:hint="eastAsia" w:asciiTheme="minorEastAsia" w:hAnsiTheme="minorEastAsia" w:eastAsiaTheme="minorEastAsia" w:cstheme="minorEastAsia"/>
                <w:color w:val="auto"/>
                <w:sz w:val="20"/>
                <w:szCs w:val="20"/>
                <w:highlight w:val="none"/>
                <w:lang w:val="en-US"/>
              </w:rPr>
              <w:t>0</w:t>
            </w:r>
          </w:p>
        </w:tc>
        <w:tc>
          <w:tcPr>
            <w:tcW w:w="2862" w:type="dxa"/>
            <w:gridSpan w:val="4"/>
            <w:tcBorders>
              <w:lef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494" w:hRule="atLeast"/>
          <w:jc w:val="center"/>
        </w:trPr>
        <w:tc>
          <w:tcPr>
            <w:tcW w:w="1409" w:type="dxa"/>
            <w:gridSpan w:val="3"/>
            <w:vAlign w:val="center"/>
          </w:tcPr>
          <w:p>
            <w:pPr>
              <w:pStyle w:val="13"/>
              <w:keepNext w:val="0"/>
              <w:keepLines w:val="0"/>
              <w:pageBreakBefore w:val="0"/>
              <w:kinsoku/>
              <w:wordWrap/>
              <w:overflowPunct/>
              <w:topLinePunct w:val="0"/>
              <w:autoSpaceDE/>
              <w:bidi w:val="0"/>
              <w:adjustRightInd/>
              <w:spacing w:line="480" w:lineRule="exact"/>
              <w:jc w:val="left"/>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3、州墙体材料改革办公室</w:t>
            </w:r>
          </w:p>
        </w:tc>
        <w:tc>
          <w:tcPr>
            <w:tcW w:w="1248" w:type="dxa"/>
            <w:gridSpan w:val="2"/>
            <w:tcBorders>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rPr>
              <w:t>4.7</w:t>
            </w:r>
            <w:r>
              <w:rPr>
                <w:rFonts w:hint="eastAsia" w:asciiTheme="minorEastAsia" w:hAnsiTheme="minorEastAsia" w:eastAsiaTheme="minorEastAsia" w:cstheme="minorEastAsia"/>
                <w:color w:val="auto"/>
                <w:sz w:val="20"/>
                <w:szCs w:val="20"/>
                <w:highlight w:val="none"/>
                <w:lang w:val="en-US" w:eastAsia="zh-CN"/>
              </w:rPr>
              <w:t>0</w:t>
            </w:r>
          </w:p>
        </w:tc>
        <w:tc>
          <w:tcPr>
            <w:tcW w:w="2134" w:type="dxa"/>
            <w:gridSpan w:val="3"/>
            <w:tcBorders>
              <w:lef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rPr>
              <w:t>4.7</w:t>
            </w:r>
            <w:r>
              <w:rPr>
                <w:rFonts w:hint="eastAsia" w:asciiTheme="minorEastAsia" w:hAnsiTheme="minorEastAsia" w:eastAsiaTheme="minorEastAsia" w:cstheme="minorEastAsia"/>
                <w:color w:val="auto"/>
                <w:sz w:val="20"/>
                <w:szCs w:val="20"/>
                <w:highlight w:val="none"/>
                <w:lang w:val="en-US" w:eastAsia="zh-CN"/>
              </w:rPr>
              <w:t>0</w:t>
            </w:r>
          </w:p>
        </w:tc>
        <w:tc>
          <w:tcPr>
            <w:tcW w:w="1627" w:type="dxa"/>
            <w:gridSpan w:val="3"/>
            <w:tcBorders>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lang w:val="en-US"/>
              </w:rPr>
            </w:pPr>
            <w:r>
              <w:rPr>
                <w:rFonts w:hint="eastAsia" w:asciiTheme="minorEastAsia" w:hAnsiTheme="minorEastAsia" w:eastAsiaTheme="minorEastAsia" w:cstheme="minorEastAsia"/>
                <w:color w:val="auto"/>
                <w:sz w:val="20"/>
                <w:szCs w:val="20"/>
                <w:highlight w:val="none"/>
                <w:lang w:val="en-US"/>
              </w:rPr>
              <w:t>0</w:t>
            </w:r>
          </w:p>
        </w:tc>
        <w:tc>
          <w:tcPr>
            <w:tcW w:w="2862" w:type="dxa"/>
            <w:gridSpan w:val="4"/>
            <w:tcBorders>
              <w:lef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284" w:hRule="atLeast"/>
          <w:jc w:val="center"/>
        </w:trPr>
        <w:tc>
          <w:tcPr>
            <w:tcW w:w="1409" w:type="dxa"/>
            <w:gridSpan w:val="3"/>
            <w:vAlign w:val="center"/>
          </w:tcPr>
          <w:p>
            <w:pPr>
              <w:pStyle w:val="13"/>
              <w:keepNext w:val="0"/>
              <w:keepLines w:val="0"/>
              <w:pageBreakBefore w:val="0"/>
              <w:kinsoku/>
              <w:wordWrap/>
              <w:overflowPunct/>
              <w:topLinePunct w:val="0"/>
              <w:autoSpaceDE/>
              <w:bidi w:val="0"/>
              <w:adjustRightInd/>
              <w:spacing w:line="480" w:lineRule="exact"/>
              <w:jc w:val="left"/>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 xml:space="preserve">4、州散装水办  </w:t>
            </w:r>
          </w:p>
        </w:tc>
        <w:tc>
          <w:tcPr>
            <w:tcW w:w="1248" w:type="dxa"/>
            <w:gridSpan w:val="2"/>
            <w:tcBorders>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lang w:val="en-US" w:eastAsia="zh-CN"/>
              </w:rPr>
              <w:t>36.91</w:t>
            </w:r>
          </w:p>
        </w:tc>
        <w:tc>
          <w:tcPr>
            <w:tcW w:w="2134" w:type="dxa"/>
            <w:gridSpan w:val="3"/>
            <w:tcBorders>
              <w:lef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lang w:val="en-US" w:eastAsia="zh-CN"/>
              </w:rPr>
              <w:t>36.91</w:t>
            </w:r>
          </w:p>
        </w:tc>
        <w:tc>
          <w:tcPr>
            <w:tcW w:w="1627" w:type="dxa"/>
            <w:gridSpan w:val="3"/>
            <w:tcBorders>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lang w:val="en-US"/>
              </w:rPr>
            </w:pPr>
            <w:r>
              <w:rPr>
                <w:rFonts w:hint="eastAsia" w:asciiTheme="minorEastAsia" w:hAnsiTheme="minorEastAsia" w:eastAsiaTheme="minorEastAsia" w:cstheme="minorEastAsia"/>
                <w:color w:val="auto"/>
                <w:sz w:val="20"/>
                <w:szCs w:val="20"/>
                <w:highlight w:val="none"/>
                <w:lang w:val="en-US"/>
              </w:rPr>
              <w:t>0</w:t>
            </w:r>
          </w:p>
        </w:tc>
        <w:tc>
          <w:tcPr>
            <w:tcW w:w="2862" w:type="dxa"/>
            <w:gridSpan w:val="4"/>
            <w:tcBorders>
              <w:lef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240" w:hRule="atLeast"/>
          <w:jc w:val="center"/>
        </w:trPr>
        <w:tc>
          <w:tcPr>
            <w:tcW w:w="9280" w:type="dxa"/>
            <w:gridSpan w:val="15"/>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b/>
                <w:bCs/>
                <w:color w:val="auto"/>
                <w:sz w:val="20"/>
                <w:szCs w:val="20"/>
                <w:highlight w:val="none"/>
              </w:rPr>
              <w:t>三、部门（单位）整体支出绩效自评情况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221" w:hRule="atLeast"/>
          <w:jc w:val="center"/>
        </w:trPr>
        <w:tc>
          <w:tcPr>
            <w:tcW w:w="1195" w:type="dxa"/>
            <w:vMerge w:val="restart"/>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整体支出绩效定性目标及实施计划完成情况</w:t>
            </w:r>
          </w:p>
        </w:tc>
        <w:tc>
          <w:tcPr>
            <w:tcW w:w="3596" w:type="dxa"/>
            <w:gridSpan w:val="7"/>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预期目标</w:t>
            </w:r>
          </w:p>
        </w:tc>
        <w:tc>
          <w:tcPr>
            <w:tcW w:w="4489" w:type="dxa"/>
            <w:gridSpan w:val="7"/>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实际完成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1962" w:hRule="atLeast"/>
          <w:jc w:val="center"/>
        </w:trPr>
        <w:tc>
          <w:tcPr>
            <w:tcW w:w="1195" w:type="dxa"/>
            <w:vMerge w:val="continue"/>
            <w:vAlign w:val="center"/>
          </w:tcPr>
          <w:p>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sz w:val="20"/>
                <w:szCs w:val="20"/>
                <w:highlight w:val="none"/>
              </w:rPr>
            </w:pPr>
          </w:p>
        </w:tc>
        <w:tc>
          <w:tcPr>
            <w:tcW w:w="3596" w:type="dxa"/>
            <w:gridSpan w:val="7"/>
            <w:vAlign w:val="center"/>
          </w:tcPr>
          <w:p>
            <w:pPr>
              <w:keepNext w:val="0"/>
              <w:keepLines w:val="0"/>
              <w:pageBreakBefore w:val="0"/>
              <w:kinsoku/>
              <w:wordWrap/>
              <w:overflowPunct/>
              <w:topLinePunct w:val="0"/>
              <w:autoSpaceDE/>
              <w:bidi w:val="0"/>
              <w:adjustRightInd/>
              <w:spacing w:line="480" w:lineRule="exact"/>
              <w:jc w:val="left"/>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目标1：全州规模工业增加值增长8%</w:t>
            </w:r>
          </w:p>
        </w:tc>
        <w:tc>
          <w:tcPr>
            <w:tcW w:w="4489" w:type="dxa"/>
            <w:gridSpan w:val="7"/>
            <w:vAlign w:val="center"/>
          </w:tcPr>
          <w:p>
            <w:pPr>
              <w:keepNext w:val="0"/>
              <w:keepLines w:val="0"/>
              <w:pageBreakBefore w:val="0"/>
              <w:kinsoku/>
              <w:wordWrap/>
              <w:overflowPunct/>
              <w:topLinePunct w:val="0"/>
              <w:autoSpaceDE/>
              <w:bidi w:val="0"/>
              <w:adjustRightInd/>
              <w:spacing w:line="480" w:lineRule="exact"/>
              <w:ind w:firstLine="200" w:firstLineChars="100"/>
              <w:jc w:val="left"/>
              <w:rPr>
                <w:rFonts w:hint="eastAsia" w:asciiTheme="minorEastAsia" w:hAnsiTheme="minorEastAsia" w:eastAsiaTheme="minorEastAsia" w:cstheme="minorEastAsia"/>
                <w:color w:val="auto"/>
                <w:sz w:val="20"/>
                <w:szCs w:val="20"/>
                <w:highlight w:val="none"/>
                <w:lang w:eastAsia="zh-CN"/>
              </w:rPr>
            </w:pPr>
            <w:r>
              <w:rPr>
                <w:rFonts w:hint="eastAsia" w:asciiTheme="minorEastAsia" w:hAnsiTheme="minorEastAsia" w:eastAsiaTheme="minorEastAsia" w:cstheme="minorEastAsia"/>
                <w:color w:val="auto"/>
                <w:sz w:val="20"/>
                <w:szCs w:val="20"/>
                <w:highlight w:val="none"/>
              </w:rPr>
              <w:t>1-12月，全州规模工业增加值增速18.1%、两年平均增速11.1%，累计增速高于全国和全省平均水平、排名全省第一</w:t>
            </w:r>
            <w:r>
              <w:rPr>
                <w:rFonts w:hint="eastAsia" w:asciiTheme="minorEastAsia" w:hAnsiTheme="minorEastAsia" w:eastAsiaTheme="minorEastAsia" w:cstheme="minorEastAsia"/>
                <w:color w:val="auto"/>
                <w:sz w:val="20"/>
                <w:szCs w:val="20"/>
                <w:highlight w:val="none"/>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633" w:hRule="atLeast"/>
          <w:jc w:val="center"/>
        </w:trPr>
        <w:tc>
          <w:tcPr>
            <w:tcW w:w="1195" w:type="dxa"/>
            <w:vMerge w:val="continue"/>
            <w:vAlign w:val="center"/>
          </w:tcPr>
          <w:p>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sz w:val="20"/>
                <w:szCs w:val="20"/>
                <w:highlight w:val="none"/>
              </w:rPr>
            </w:pPr>
          </w:p>
        </w:tc>
        <w:tc>
          <w:tcPr>
            <w:tcW w:w="3596" w:type="dxa"/>
            <w:gridSpan w:val="7"/>
            <w:vAlign w:val="center"/>
          </w:tcPr>
          <w:p>
            <w:pPr>
              <w:keepNext w:val="0"/>
              <w:keepLines w:val="0"/>
              <w:pageBreakBefore w:val="0"/>
              <w:kinsoku/>
              <w:wordWrap/>
              <w:overflowPunct/>
              <w:topLinePunct w:val="0"/>
              <w:autoSpaceDE/>
              <w:bidi w:val="0"/>
              <w:adjustRightInd/>
              <w:spacing w:line="480" w:lineRule="exact"/>
              <w:jc w:val="left"/>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目标2：工业投资完成 80亿元</w:t>
            </w:r>
          </w:p>
        </w:tc>
        <w:tc>
          <w:tcPr>
            <w:tcW w:w="4489" w:type="dxa"/>
            <w:gridSpan w:val="7"/>
            <w:vAlign w:val="center"/>
          </w:tcPr>
          <w:p>
            <w:pPr>
              <w:keepNext w:val="0"/>
              <w:keepLines w:val="0"/>
              <w:pageBreakBefore w:val="0"/>
              <w:kinsoku/>
              <w:wordWrap/>
              <w:overflowPunct/>
              <w:topLinePunct w:val="0"/>
              <w:autoSpaceDE/>
              <w:bidi w:val="0"/>
              <w:adjustRightInd/>
              <w:spacing w:line="480" w:lineRule="exact"/>
              <w:ind w:firstLine="200" w:firstLineChars="100"/>
              <w:jc w:val="left"/>
              <w:rPr>
                <w:rFonts w:hint="eastAsia" w:asciiTheme="minorEastAsia" w:hAnsiTheme="minorEastAsia" w:eastAsiaTheme="minorEastAsia" w:cstheme="minorEastAsia"/>
                <w:color w:val="auto"/>
                <w:sz w:val="20"/>
                <w:szCs w:val="20"/>
                <w:highlight w:val="none"/>
                <w:lang w:eastAsia="zh-CN"/>
              </w:rPr>
            </w:pPr>
            <w:r>
              <w:rPr>
                <w:rFonts w:hint="eastAsia" w:asciiTheme="minorEastAsia" w:hAnsiTheme="minorEastAsia" w:eastAsiaTheme="minorEastAsia" w:cstheme="minorEastAsia"/>
                <w:color w:val="auto"/>
                <w:sz w:val="20"/>
                <w:szCs w:val="20"/>
                <w:highlight w:val="none"/>
              </w:rPr>
              <w:t>工业投资完成 80.1亿元、同比增长0.7%、两年平均增长18.2%</w:t>
            </w:r>
            <w:r>
              <w:rPr>
                <w:rFonts w:hint="eastAsia" w:asciiTheme="minorEastAsia" w:hAnsiTheme="minorEastAsia" w:eastAsiaTheme="minorEastAsia" w:cstheme="minorEastAsia"/>
                <w:color w:val="auto"/>
                <w:sz w:val="20"/>
                <w:szCs w:val="20"/>
                <w:highlight w:val="none"/>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50" w:hRule="atLeast"/>
          <w:jc w:val="center"/>
        </w:trPr>
        <w:tc>
          <w:tcPr>
            <w:tcW w:w="1195" w:type="dxa"/>
            <w:vAlign w:val="center"/>
          </w:tcPr>
          <w:p>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sz w:val="20"/>
                <w:szCs w:val="20"/>
                <w:highlight w:val="none"/>
              </w:rPr>
            </w:pPr>
          </w:p>
        </w:tc>
        <w:tc>
          <w:tcPr>
            <w:tcW w:w="3596" w:type="dxa"/>
            <w:gridSpan w:val="7"/>
            <w:vAlign w:val="center"/>
          </w:tcPr>
          <w:p>
            <w:pPr>
              <w:keepNext w:val="0"/>
              <w:keepLines w:val="0"/>
              <w:pageBreakBefore w:val="0"/>
              <w:kinsoku/>
              <w:wordWrap/>
              <w:overflowPunct/>
              <w:topLinePunct w:val="0"/>
              <w:autoSpaceDE/>
              <w:bidi w:val="0"/>
              <w:adjustRightInd/>
              <w:spacing w:line="480" w:lineRule="exact"/>
              <w:jc w:val="left"/>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目标3：制造业投资完成5</w:t>
            </w:r>
            <w:r>
              <w:rPr>
                <w:rFonts w:hint="eastAsia" w:asciiTheme="minorEastAsia" w:hAnsiTheme="minorEastAsia" w:eastAsiaTheme="minorEastAsia" w:cstheme="minorEastAsia"/>
                <w:color w:val="auto"/>
                <w:sz w:val="20"/>
                <w:szCs w:val="20"/>
                <w:highlight w:val="none"/>
                <w:lang w:val="en-US" w:eastAsia="zh-CN"/>
              </w:rPr>
              <w:t>0</w:t>
            </w:r>
            <w:r>
              <w:rPr>
                <w:rFonts w:hint="eastAsia" w:asciiTheme="minorEastAsia" w:hAnsiTheme="minorEastAsia" w:eastAsiaTheme="minorEastAsia" w:cstheme="minorEastAsia"/>
                <w:color w:val="auto"/>
                <w:sz w:val="20"/>
                <w:szCs w:val="20"/>
                <w:highlight w:val="none"/>
              </w:rPr>
              <w:t>亿元</w:t>
            </w:r>
          </w:p>
        </w:tc>
        <w:tc>
          <w:tcPr>
            <w:tcW w:w="4489" w:type="dxa"/>
            <w:gridSpan w:val="7"/>
            <w:vAlign w:val="center"/>
          </w:tcPr>
          <w:p>
            <w:pPr>
              <w:keepNext w:val="0"/>
              <w:keepLines w:val="0"/>
              <w:pageBreakBefore w:val="0"/>
              <w:kinsoku/>
              <w:wordWrap/>
              <w:overflowPunct/>
              <w:topLinePunct w:val="0"/>
              <w:autoSpaceDE/>
              <w:bidi w:val="0"/>
              <w:adjustRightInd/>
              <w:spacing w:line="480" w:lineRule="exact"/>
              <w:ind w:firstLine="200" w:firstLineChars="100"/>
              <w:jc w:val="left"/>
              <w:rPr>
                <w:rFonts w:hint="eastAsia" w:asciiTheme="minorEastAsia" w:hAnsiTheme="minorEastAsia" w:eastAsiaTheme="minorEastAsia" w:cstheme="minorEastAsia"/>
                <w:color w:val="auto"/>
                <w:sz w:val="20"/>
                <w:szCs w:val="20"/>
                <w:highlight w:val="none"/>
                <w:lang w:eastAsia="zh-CN"/>
              </w:rPr>
            </w:pPr>
            <w:r>
              <w:rPr>
                <w:rFonts w:hint="eastAsia" w:asciiTheme="minorEastAsia" w:hAnsiTheme="minorEastAsia" w:eastAsiaTheme="minorEastAsia" w:cstheme="minorEastAsia"/>
                <w:color w:val="auto"/>
                <w:sz w:val="20"/>
                <w:szCs w:val="20"/>
                <w:highlight w:val="none"/>
              </w:rPr>
              <w:t>制造业投资完成</w:t>
            </w:r>
            <w:r>
              <w:rPr>
                <w:rFonts w:hint="eastAsia" w:asciiTheme="minorEastAsia" w:hAnsiTheme="minorEastAsia" w:eastAsiaTheme="minorEastAsia" w:cstheme="minorEastAsia"/>
                <w:color w:val="auto"/>
                <w:sz w:val="20"/>
                <w:szCs w:val="20"/>
                <w:highlight w:val="none"/>
                <w:lang w:val="en-US" w:eastAsia="zh-CN"/>
              </w:rPr>
              <w:t xml:space="preserve">56.5 </w:t>
            </w:r>
            <w:r>
              <w:rPr>
                <w:rFonts w:hint="eastAsia" w:asciiTheme="minorEastAsia" w:hAnsiTheme="minorEastAsia" w:eastAsiaTheme="minorEastAsia" w:cstheme="minorEastAsia"/>
                <w:color w:val="auto"/>
                <w:sz w:val="20"/>
                <w:szCs w:val="20"/>
                <w:highlight w:val="none"/>
              </w:rPr>
              <w:t>亿元</w:t>
            </w:r>
            <w:r>
              <w:rPr>
                <w:rFonts w:hint="eastAsia" w:asciiTheme="minorEastAsia" w:hAnsiTheme="minorEastAsia" w:eastAsiaTheme="minorEastAsia" w:cstheme="minorEastAsia"/>
                <w:color w:val="auto"/>
                <w:sz w:val="20"/>
                <w:szCs w:val="20"/>
                <w:highlight w:val="none"/>
                <w:lang w:eastAsia="zh-CN"/>
              </w:rPr>
              <w:t>、</w:t>
            </w:r>
            <w:r>
              <w:rPr>
                <w:rFonts w:hint="eastAsia" w:asciiTheme="minorEastAsia" w:hAnsiTheme="minorEastAsia" w:eastAsiaTheme="minorEastAsia" w:cstheme="minorEastAsia"/>
                <w:color w:val="auto"/>
                <w:sz w:val="20"/>
                <w:szCs w:val="20"/>
                <w:highlight w:val="none"/>
              </w:rPr>
              <w:t>同比增长</w:t>
            </w:r>
            <w:r>
              <w:rPr>
                <w:rFonts w:hint="eastAsia" w:asciiTheme="minorEastAsia" w:hAnsiTheme="minorEastAsia" w:eastAsiaTheme="minorEastAsia" w:cstheme="minorEastAsia"/>
                <w:color w:val="auto"/>
                <w:sz w:val="20"/>
                <w:szCs w:val="20"/>
                <w:highlight w:val="none"/>
                <w:lang w:val="en-US" w:eastAsia="zh-CN"/>
              </w:rPr>
              <w:t>11.8</w:t>
            </w:r>
            <w:r>
              <w:rPr>
                <w:rFonts w:hint="eastAsia" w:asciiTheme="minorEastAsia" w:hAnsiTheme="minorEastAsia" w:eastAsiaTheme="minorEastAsia" w:cstheme="minorEastAsia"/>
                <w:color w:val="auto"/>
                <w:sz w:val="20"/>
                <w:szCs w:val="20"/>
                <w:highlight w:val="none"/>
              </w:rPr>
              <w:t>%</w:t>
            </w:r>
            <w:r>
              <w:rPr>
                <w:rFonts w:hint="eastAsia" w:asciiTheme="minorEastAsia" w:hAnsiTheme="minorEastAsia" w:eastAsiaTheme="minorEastAsia" w:cstheme="minorEastAsia"/>
                <w:color w:val="auto"/>
                <w:sz w:val="20"/>
                <w:szCs w:val="20"/>
                <w:highlight w:val="none"/>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995" w:hRule="atLeast"/>
          <w:jc w:val="center"/>
        </w:trPr>
        <w:tc>
          <w:tcPr>
            <w:tcW w:w="1195" w:type="dxa"/>
            <w:vAlign w:val="center"/>
          </w:tcPr>
          <w:p>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sz w:val="20"/>
                <w:szCs w:val="20"/>
                <w:highlight w:val="none"/>
              </w:rPr>
            </w:pPr>
          </w:p>
        </w:tc>
        <w:tc>
          <w:tcPr>
            <w:tcW w:w="3596" w:type="dxa"/>
            <w:gridSpan w:val="7"/>
            <w:vAlign w:val="center"/>
          </w:tcPr>
          <w:p>
            <w:pPr>
              <w:keepNext w:val="0"/>
              <w:keepLines w:val="0"/>
              <w:pageBreakBefore w:val="0"/>
              <w:kinsoku/>
              <w:wordWrap/>
              <w:overflowPunct/>
              <w:topLinePunct w:val="0"/>
              <w:autoSpaceDE/>
              <w:bidi w:val="0"/>
              <w:adjustRightInd/>
              <w:spacing w:line="480" w:lineRule="exact"/>
              <w:jc w:val="left"/>
              <w:rPr>
                <w:rFonts w:hint="eastAsia"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rPr>
              <w:t>目标4：全年招商引进项目</w:t>
            </w:r>
            <w:r>
              <w:rPr>
                <w:rFonts w:hint="eastAsia" w:asciiTheme="minorEastAsia" w:hAnsiTheme="minorEastAsia" w:eastAsiaTheme="minorEastAsia" w:cstheme="minorEastAsia"/>
                <w:color w:val="auto"/>
                <w:sz w:val="20"/>
                <w:szCs w:val="20"/>
                <w:highlight w:val="none"/>
                <w:lang w:val="en-US" w:eastAsia="zh-CN"/>
              </w:rPr>
              <w:t>30</w:t>
            </w:r>
            <w:r>
              <w:rPr>
                <w:rFonts w:hint="eastAsia" w:asciiTheme="minorEastAsia" w:hAnsiTheme="minorEastAsia" w:eastAsiaTheme="minorEastAsia" w:cstheme="minorEastAsia"/>
                <w:color w:val="auto"/>
                <w:sz w:val="20"/>
                <w:szCs w:val="20"/>
                <w:highlight w:val="none"/>
              </w:rPr>
              <w:t>个</w:t>
            </w:r>
            <w:r>
              <w:rPr>
                <w:rFonts w:hint="eastAsia" w:asciiTheme="minorEastAsia" w:hAnsiTheme="minorEastAsia" w:eastAsiaTheme="minorEastAsia" w:cstheme="minorEastAsia"/>
                <w:color w:val="auto"/>
                <w:sz w:val="20"/>
                <w:szCs w:val="20"/>
                <w:highlight w:val="none"/>
                <w:lang w:val="en-US" w:eastAsia="zh-CN"/>
              </w:rPr>
              <w:t>以上</w:t>
            </w:r>
          </w:p>
        </w:tc>
        <w:tc>
          <w:tcPr>
            <w:tcW w:w="4489" w:type="dxa"/>
            <w:gridSpan w:val="7"/>
            <w:vAlign w:val="center"/>
          </w:tcPr>
          <w:p>
            <w:pPr>
              <w:keepNext w:val="0"/>
              <w:keepLines w:val="0"/>
              <w:pageBreakBefore w:val="0"/>
              <w:kinsoku/>
              <w:wordWrap/>
              <w:overflowPunct/>
              <w:topLinePunct w:val="0"/>
              <w:autoSpaceDE/>
              <w:bidi w:val="0"/>
              <w:adjustRightInd/>
              <w:spacing w:line="480" w:lineRule="exact"/>
              <w:ind w:firstLine="200" w:firstLineChars="100"/>
              <w:jc w:val="left"/>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全年引进项目39个、投资总额125亿元，为工业经济发展注入新动能。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1680" w:hRule="atLeast"/>
          <w:jc w:val="center"/>
        </w:trPr>
        <w:tc>
          <w:tcPr>
            <w:tcW w:w="1195" w:type="dxa"/>
            <w:vAlign w:val="center"/>
          </w:tcPr>
          <w:p>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sz w:val="20"/>
                <w:szCs w:val="20"/>
                <w:highlight w:val="none"/>
              </w:rPr>
            </w:pPr>
          </w:p>
        </w:tc>
        <w:tc>
          <w:tcPr>
            <w:tcW w:w="3596" w:type="dxa"/>
            <w:gridSpan w:val="7"/>
            <w:vAlign w:val="center"/>
          </w:tcPr>
          <w:p>
            <w:pPr>
              <w:keepNext w:val="0"/>
              <w:keepLines w:val="0"/>
              <w:pageBreakBefore w:val="0"/>
              <w:kinsoku/>
              <w:wordWrap/>
              <w:overflowPunct/>
              <w:topLinePunct w:val="0"/>
              <w:autoSpaceDE/>
              <w:bidi w:val="0"/>
              <w:adjustRightInd/>
              <w:spacing w:line="480" w:lineRule="exact"/>
              <w:jc w:val="left"/>
              <w:rPr>
                <w:rFonts w:hint="default"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rPr>
              <w:t>目标5：优势产业链</w:t>
            </w:r>
            <w:r>
              <w:rPr>
                <w:rFonts w:hint="eastAsia" w:asciiTheme="minorEastAsia" w:hAnsiTheme="minorEastAsia" w:eastAsiaTheme="minorEastAsia" w:cstheme="minorEastAsia"/>
                <w:color w:val="auto"/>
                <w:sz w:val="20"/>
                <w:szCs w:val="20"/>
                <w:highlight w:val="none"/>
                <w:lang w:val="en-US" w:eastAsia="zh-CN"/>
              </w:rPr>
              <w:t>增长</w:t>
            </w:r>
          </w:p>
        </w:tc>
        <w:tc>
          <w:tcPr>
            <w:tcW w:w="4489" w:type="dxa"/>
            <w:gridSpan w:val="7"/>
            <w:vAlign w:val="center"/>
          </w:tcPr>
          <w:p>
            <w:pPr>
              <w:keepNext w:val="0"/>
              <w:keepLines w:val="0"/>
              <w:pageBreakBefore w:val="0"/>
              <w:kinsoku/>
              <w:wordWrap/>
              <w:overflowPunct/>
              <w:topLinePunct w:val="0"/>
              <w:autoSpaceDE/>
              <w:bidi w:val="0"/>
              <w:adjustRightInd/>
              <w:spacing w:line="480" w:lineRule="exact"/>
              <w:ind w:firstLine="200" w:firstLineChars="100"/>
              <w:jc w:val="left"/>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1-12月，9条优势产业链产值增长 24.7 %，高于规模工业总产值增速 1.2 个百分点；白酒、锰锌新材料、锂电池、“两茶”产业链分别增长94%、39.5%、38.8%和22.5%，发展势头强劲。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1680" w:hRule="atLeast"/>
          <w:jc w:val="center"/>
        </w:trPr>
        <w:tc>
          <w:tcPr>
            <w:tcW w:w="1195" w:type="dxa"/>
            <w:vAlign w:val="center"/>
          </w:tcPr>
          <w:p>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sz w:val="20"/>
                <w:szCs w:val="20"/>
                <w:highlight w:val="none"/>
              </w:rPr>
            </w:pPr>
          </w:p>
        </w:tc>
        <w:tc>
          <w:tcPr>
            <w:tcW w:w="3596" w:type="dxa"/>
            <w:gridSpan w:val="7"/>
            <w:vAlign w:val="center"/>
          </w:tcPr>
          <w:p>
            <w:pPr>
              <w:keepNext w:val="0"/>
              <w:keepLines w:val="0"/>
              <w:pageBreakBefore w:val="0"/>
              <w:kinsoku/>
              <w:wordWrap/>
              <w:overflowPunct/>
              <w:topLinePunct w:val="0"/>
              <w:autoSpaceDE/>
              <w:bidi w:val="0"/>
              <w:adjustRightInd/>
              <w:spacing w:line="480" w:lineRule="exact"/>
              <w:jc w:val="left"/>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目标6：</w:t>
            </w:r>
            <w:r>
              <w:rPr>
                <w:rFonts w:hint="eastAsia" w:asciiTheme="minorEastAsia" w:hAnsiTheme="minorEastAsia" w:eastAsiaTheme="minorEastAsia" w:cstheme="minorEastAsia"/>
                <w:color w:val="auto"/>
                <w:sz w:val="20"/>
                <w:szCs w:val="20"/>
                <w:highlight w:val="none"/>
                <w:lang w:val="en-US" w:eastAsia="zh-CN"/>
              </w:rPr>
              <w:t>营商环境持续改善</w:t>
            </w:r>
          </w:p>
        </w:tc>
        <w:tc>
          <w:tcPr>
            <w:tcW w:w="4489" w:type="dxa"/>
            <w:gridSpan w:val="7"/>
            <w:vAlign w:val="center"/>
          </w:tcPr>
          <w:p>
            <w:pPr>
              <w:keepNext w:val="0"/>
              <w:keepLines w:val="0"/>
              <w:pageBreakBefore w:val="0"/>
              <w:kinsoku/>
              <w:wordWrap/>
              <w:overflowPunct/>
              <w:topLinePunct w:val="0"/>
              <w:autoSpaceDE/>
              <w:bidi w:val="0"/>
              <w:adjustRightInd/>
              <w:spacing w:line="480" w:lineRule="exact"/>
              <w:ind w:firstLine="200" w:firstLineChars="100"/>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加强银政企对接，积极搭建中小企业融资服务平台，努力缓解企业融资难、融资贵问题。与州农行签订产业链支持战略合作协议，在3年合作期内为9条产业链企业累计提供各项融资不低于20亿元。州应急转贷资金完成98笔转贷业务，涉及续贷资金6.16亿元，共计应收综合费68.21万元，实收47.75万元，减免30%。积极协调电价优惠政策，全州工业企业享受电价优惠额度达1.32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424" w:hRule="atLeast"/>
          <w:jc w:val="center"/>
        </w:trPr>
        <w:tc>
          <w:tcPr>
            <w:tcW w:w="1195" w:type="dxa"/>
            <w:vAlign w:val="center"/>
          </w:tcPr>
          <w:p>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sz w:val="20"/>
                <w:szCs w:val="20"/>
                <w:highlight w:val="none"/>
              </w:rPr>
            </w:pPr>
          </w:p>
        </w:tc>
        <w:tc>
          <w:tcPr>
            <w:tcW w:w="3596" w:type="dxa"/>
            <w:gridSpan w:val="7"/>
            <w:vAlign w:val="center"/>
          </w:tcPr>
          <w:p>
            <w:pPr>
              <w:keepNext w:val="0"/>
              <w:keepLines w:val="0"/>
              <w:pageBreakBefore w:val="0"/>
              <w:kinsoku/>
              <w:wordWrap/>
              <w:overflowPunct/>
              <w:topLinePunct w:val="0"/>
              <w:autoSpaceDE/>
              <w:bidi w:val="0"/>
              <w:adjustRightInd/>
              <w:spacing w:line="480" w:lineRule="exact"/>
              <w:jc w:val="left"/>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目标7：全年新增入规企业40家以上</w:t>
            </w:r>
          </w:p>
        </w:tc>
        <w:tc>
          <w:tcPr>
            <w:tcW w:w="4489" w:type="dxa"/>
            <w:gridSpan w:val="7"/>
            <w:vAlign w:val="center"/>
          </w:tcPr>
          <w:p>
            <w:pPr>
              <w:keepNext w:val="0"/>
              <w:keepLines w:val="0"/>
              <w:pageBreakBefore w:val="0"/>
              <w:kinsoku/>
              <w:wordWrap/>
              <w:overflowPunct/>
              <w:topLinePunct w:val="0"/>
              <w:autoSpaceDE/>
              <w:bidi w:val="0"/>
              <w:adjustRightInd/>
              <w:spacing w:line="480" w:lineRule="exact"/>
              <w:ind w:firstLine="200" w:firstLineChars="100"/>
              <w:jc w:val="left"/>
              <w:rPr>
                <w:rFonts w:hint="eastAsia" w:asciiTheme="minorEastAsia" w:hAnsiTheme="minorEastAsia" w:eastAsiaTheme="minorEastAsia" w:cstheme="minorEastAsia"/>
                <w:color w:val="auto"/>
                <w:sz w:val="20"/>
                <w:szCs w:val="20"/>
                <w:highlight w:val="none"/>
                <w:lang w:eastAsia="zh-CN"/>
              </w:rPr>
            </w:pPr>
            <w:r>
              <w:rPr>
                <w:rFonts w:hint="eastAsia" w:asciiTheme="minorEastAsia" w:hAnsiTheme="minorEastAsia" w:eastAsiaTheme="minorEastAsia" w:cstheme="minorEastAsia"/>
                <w:color w:val="auto"/>
                <w:sz w:val="20"/>
                <w:szCs w:val="20"/>
                <w:highlight w:val="none"/>
              </w:rPr>
              <w:t>持之以恒抓好企业入规工作</w:t>
            </w:r>
            <w:r>
              <w:rPr>
                <w:rFonts w:hint="eastAsia" w:asciiTheme="minorEastAsia" w:hAnsiTheme="minorEastAsia" w:eastAsiaTheme="minorEastAsia" w:cstheme="minorEastAsia"/>
                <w:color w:val="auto"/>
                <w:sz w:val="20"/>
                <w:szCs w:val="20"/>
                <w:highlight w:val="none"/>
                <w:lang w:eastAsia="zh-CN"/>
              </w:rPr>
              <w:t>，全年新增45家以上。企业“上云”“上平台”完成年度任务，新增3家省小巨人企业和2家省新材料企业，新增省级企业技术中心1家，新增省工业品牌培育“示范企业”2家、“试点企业”3家，形成大中小企业协同发展的良好态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221" w:hRule="atLeast"/>
          <w:jc w:val="center"/>
        </w:trPr>
        <w:tc>
          <w:tcPr>
            <w:tcW w:w="1195" w:type="dxa"/>
            <w:vMerge w:val="restart"/>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 xml:space="preserve"> 整体支出</w:t>
            </w:r>
          </w:p>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绩效定量目标及实施计划完成情况</w:t>
            </w:r>
          </w:p>
        </w:tc>
        <w:tc>
          <w:tcPr>
            <w:tcW w:w="3596" w:type="dxa"/>
            <w:gridSpan w:val="7"/>
            <w:tcBorders>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评价内容</w:t>
            </w:r>
          </w:p>
        </w:tc>
        <w:tc>
          <w:tcPr>
            <w:tcW w:w="2622" w:type="dxa"/>
            <w:gridSpan w:val="5"/>
            <w:tcBorders>
              <w:left w:val="single" w:color="auto" w:sz="4" w:space="0"/>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绩效目标</w:t>
            </w:r>
          </w:p>
        </w:tc>
        <w:tc>
          <w:tcPr>
            <w:tcW w:w="1867" w:type="dxa"/>
            <w:gridSpan w:val="2"/>
            <w:tcBorders>
              <w:lef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完成情况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424" w:hRule="atLeast"/>
          <w:jc w:val="center"/>
        </w:trPr>
        <w:tc>
          <w:tcPr>
            <w:tcW w:w="1195" w:type="dxa"/>
            <w:vMerge w:val="continue"/>
            <w:vAlign w:val="center"/>
          </w:tcPr>
          <w:p>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sz w:val="20"/>
                <w:szCs w:val="20"/>
                <w:highlight w:val="none"/>
              </w:rPr>
            </w:pPr>
          </w:p>
        </w:tc>
        <w:tc>
          <w:tcPr>
            <w:tcW w:w="1392" w:type="dxa"/>
            <w:gridSpan w:val="3"/>
            <w:vMerge w:val="restart"/>
            <w:vAlign w:val="center"/>
          </w:tcPr>
          <w:p>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产出目标</w:t>
            </w:r>
          </w:p>
          <w:p>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（部门工作实绩，包含上级部门和州委州政府布置的重点工作、实事任务等，根据部门实际进行调整细化）</w:t>
            </w:r>
          </w:p>
        </w:tc>
        <w:tc>
          <w:tcPr>
            <w:tcW w:w="659" w:type="dxa"/>
            <w:gridSpan w:val="2"/>
            <w:vMerge w:val="restart"/>
            <w:vAlign w:val="center"/>
          </w:tcPr>
          <w:p>
            <w:pPr>
              <w:keepNext w:val="0"/>
              <w:keepLines w:val="0"/>
              <w:pageBreakBefore w:val="0"/>
              <w:kinsoku/>
              <w:wordWrap/>
              <w:overflowPunct/>
              <w:topLinePunct w:val="0"/>
              <w:autoSpaceDE/>
              <w:bidi w:val="0"/>
              <w:adjustRightInd/>
              <w:spacing w:line="480" w:lineRule="exact"/>
              <w:jc w:val="left"/>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数量、质量、时效、成本指标</w:t>
            </w:r>
          </w:p>
          <w:p>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sz w:val="20"/>
                <w:szCs w:val="20"/>
                <w:highlight w:val="none"/>
              </w:rPr>
            </w:pPr>
          </w:p>
        </w:tc>
        <w:tc>
          <w:tcPr>
            <w:tcW w:w="1545" w:type="dxa"/>
            <w:gridSpan w:val="2"/>
            <w:tcBorders>
              <w:right w:val="single" w:color="auto" w:sz="4" w:space="0"/>
            </w:tcBorders>
            <w:vAlign w:val="center"/>
          </w:tcPr>
          <w:p>
            <w:pPr>
              <w:keepNext w:val="0"/>
              <w:keepLines w:val="0"/>
              <w:pageBreakBefore w:val="0"/>
              <w:kinsoku/>
              <w:wordWrap/>
              <w:overflowPunct/>
              <w:topLinePunct w:val="0"/>
              <w:autoSpaceDE/>
              <w:bidi w:val="0"/>
              <w:adjustRightInd/>
              <w:spacing w:line="480" w:lineRule="exact"/>
              <w:jc w:val="left"/>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指标1：重点工作完成率</w:t>
            </w:r>
          </w:p>
        </w:tc>
        <w:tc>
          <w:tcPr>
            <w:tcW w:w="2622" w:type="dxa"/>
            <w:gridSpan w:val="5"/>
            <w:tcBorders>
              <w:left w:val="single" w:color="auto" w:sz="4" w:space="0"/>
              <w:right w:val="single" w:color="auto" w:sz="4" w:space="0"/>
            </w:tcBorders>
            <w:vAlign w:val="center"/>
          </w:tcPr>
          <w:p>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b/>
                <w:color w:val="auto"/>
                <w:sz w:val="20"/>
                <w:szCs w:val="20"/>
                <w:highlight w:val="none"/>
              </w:rPr>
            </w:pPr>
            <w:r>
              <w:rPr>
                <w:rFonts w:hint="eastAsia" w:asciiTheme="minorEastAsia" w:hAnsiTheme="minorEastAsia" w:eastAsiaTheme="minorEastAsia" w:cstheme="minorEastAsia"/>
                <w:color w:val="auto"/>
                <w:sz w:val="20"/>
                <w:szCs w:val="20"/>
                <w:highlight w:val="none"/>
              </w:rPr>
              <w:t>100%</w:t>
            </w:r>
          </w:p>
        </w:tc>
        <w:tc>
          <w:tcPr>
            <w:tcW w:w="1867" w:type="dxa"/>
            <w:gridSpan w:val="2"/>
            <w:tcBorders>
              <w:left w:val="single" w:color="auto" w:sz="4" w:space="0"/>
            </w:tcBorders>
            <w:vAlign w:val="center"/>
          </w:tcPr>
          <w:p>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kern w:val="0"/>
                <w:sz w:val="20"/>
                <w:szCs w:val="20"/>
                <w:highlight w:val="none"/>
                <w:lang w:bidi="ar"/>
              </w:rPr>
            </w:pPr>
            <w:r>
              <w:rPr>
                <w:rFonts w:hint="eastAsia" w:asciiTheme="minorEastAsia" w:hAnsiTheme="minorEastAsia" w:eastAsiaTheme="minorEastAsia" w:cstheme="minorEastAsia"/>
                <w:bCs/>
                <w:color w:val="auto"/>
                <w:sz w:val="20"/>
                <w:szCs w:val="20"/>
                <w:highlight w:val="none"/>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424" w:hRule="atLeast"/>
          <w:jc w:val="center"/>
        </w:trPr>
        <w:tc>
          <w:tcPr>
            <w:tcW w:w="1195" w:type="dxa"/>
            <w:vMerge w:val="continue"/>
            <w:vAlign w:val="center"/>
          </w:tcPr>
          <w:p>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sz w:val="20"/>
                <w:szCs w:val="20"/>
                <w:highlight w:val="none"/>
              </w:rPr>
            </w:pPr>
          </w:p>
        </w:tc>
        <w:tc>
          <w:tcPr>
            <w:tcW w:w="1392" w:type="dxa"/>
            <w:gridSpan w:val="3"/>
            <w:vMerge w:val="continue"/>
            <w:vAlign w:val="center"/>
          </w:tcPr>
          <w:p>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sz w:val="20"/>
                <w:szCs w:val="20"/>
                <w:highlight w:val="none"/>
              </w:rPr>
            </w:pPr>
          </w:p>
        </w:tc>
        <w:tc>
          <w:tcPr>
            <w:tcW w:w="659" w:type="dxa"/>
            <w:gridSpan w:val="2"/>
            <w:vMerge w:val="continue"/>
            <w:vAlign w:val="center"/>
          </w:tcPr>
          <w:p>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sz w:val="20"/>
                <w:szCs w:val="20"/>
                <w:highlight w:val="none"/>
              </w:rPr>
            </w:pPr>
          </w:p>
        </w:tc>
        <w:tc>
          <w:tcPr>
            <w:tcW w:w="1545" w:type="dxa"/>
            <w:gridSpan w:val="2"/>
            <w:tcBorders>
              <w:right w:val="single" w:color="auto" w:sz="4" w:space="0"/>
            </w:tcBorders>
            <w:vAlign w:val="center"/>
          </w:tcPr>
          <w:p>
            <w:pPr>
              <w:keepNext w:val="0"/>
              <w:keepLines w:val="0"/>
              <w:pageBreakBefore w:val="0"/>
              <w:kinsoku/>
              <w:wordWrap/>
              <w:overflowPunct/>
              <w:topLinePunct w:val="0"/>
              <w:autoSpaceDE/>
              <w:bidi w:val="0"/>
              <w:adjustRightInd/>
              <w:spacing w:line="480" w:lineRule="exact"/>
              <w:jc w:val="left"/>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指标2：预算</w:t>
            </w:r>
            <w:r>
              <w:rPr>
                <w:rFonts w:hint="eastAsia" w:asciiTheme="minorEastAsia" w:hAnsiTheme="minorEastAsia" w:eastAsiaTheme="minorEastAsia" w:cstheme="minorEastAsia"/>
                <w:color w:val="auto"/>
                <w:sz w:val="20"/>
                <w:szCs w:val="20"/>
                <w:highlight w:val="none"/>
                <w:lang w:val="en-US" w:eastAsia="zh-CN"/>
              </w:rPr>
              <w:t>执行</w:t>
            </w:r>
            <w:r>
              <w:rPr>
                <w:rFonts w:hint="eastAsia" w:asciiTheme="minorEastAsia" w:hAnsiTheme="minorEastAsia" w:eastAsiaTheme="minorEastAsia" w:cstheme="minorEastAsia"/>
                <w:color w:val="auto"/>
                <w:sz w:val="20"/>
                <w:szCs w:val="20"/>
                <w:highlight w:val="none"/>
              </w:rPr>
              <w:t>率</w:t>
            </w:r>
          </w:p>
        </w:tc>
        <w:tc>
          <w:tcPr>
            <w:tcW w:w="2622" w:type="dxa"/>
            <w:gridSpan w:val="5"/>
            <w:tcBorders>
              <w:left w:val="single" w:color="auto" w:sz="4" w:space="0"/>
              <w:right w:val="single" w:color="auto" w:sz="4" w:space="0"/>
            </w:tcBorders>
            <w:vAlign w:val="center"/>
          </w:tcPr>
          <w:p>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b/>
                <w:color w:val="auto"/>
                <w:sz w:val="20"/>
                <w:szCs w:val="20"/>
                <w:highlight w:val="none"/>
              </w:rPr>
            </w:pPr>
            <w:r>
              <w:rPr>
                <w:rFonts w:hint="eastAsia" w:asciiTheme="minorEastAsia" w:hAnsiTheme="minorEastAsia" w:eastAsiaTheme="minorEastAsia" w:cstheme="minorEastAsia"/>
                <w:color w:val="auto"/>
                <w:sz w:val="20"/>
                <w:szCs w:val="20"/>
                <w:highlight w:val="none"/>
              </w:rPr>
              <w:t>100%</w:t>
            </w:r>
          </w:p>
        </w:tc>
        <w:tc>
          <w:tcPr>
            <w:tcW w:w="1867" w:type="dxa"/>
            <w:gridSpan w:val="2"/>
            <w:tcBorders>
              <w:left w:val="single" w:color="auto" w:sz="4" w:space="0"/>
            </w:tcBorders>
            <w:vAlign w:val="center"/>
          </w:tcPr>
          <w:p>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kern w:val="0"/>
                <w:sz w:val="20"/>
                <w:szCs w:val="20"/>
                <w:highlight w:val="none"/>
                <w:lang w:bidi="ar"/>
              </w:rPr>
            </w:pPr>
            <w:r>
              <w:rPr>
                <w:rFonts w:hint="eastAsia" w:asciiTheme="minorEastAsia" w:hAnsiTheme="minorEastAsia" w:eastAsiaTheme="minorEastAsia" w:cstheme="minorEastAsia"/>
                <w:bCs/>
                <w:color w:val="auto"/>
                <w:sz w:val="20"/>
                <w:szCs w:val="20"/>
                <w:highlight w:val="none"/>
                <w:lang w:val="en-US" w:eastAsia="zh-CN"/>
              </w:rPr>
              <w:t>93.56</w:t>
            </w:r>
            <w:r>
              <w:rPr>
                <w:rFonts w:hint="eastAsia" w:asciiTheme="minorEastAsia" w:hAnsiTheme="minorEastAsia" w:eastAsiaTheme="minorEastAsia" w:cstheme="minorEastAsia"/>
                <w:bCs/>
                <w:color w:val="auto"/>
                <w:sz w:val="20"/>
                <w:szCs w:val="20"/>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424" w:hRule="atLeast"/>
          <w:jc w:val="center"/>
        </w:trPr>
        <w:tc>
          <w:tcPr>
            <w:tcW w:w="1195" w:type="dxa"/>
            <w:vMerge w:val="continue"/>
            <w:vAlign w:val="center"/>
          </w:tcPr>
          <w:p>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sz w:val="20"/>
                <w:szCs w:val="20"/>
                <w:highlight w:val="none"/>
              </w:rPr>
            </w:pPr>
          </w:p>
        </w:tc>
        <w:tc>
          <w:tcPr>
            <w:tcW w:w="1392" w:type="dxa"/>
            <w:gridSpan w:val="3"/>
            <w:vMerge w:val="continue"/>
            <w:vAlign w:val="center"/>
          </w:tcPr>
          <w:p>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sz w:val="20"/>
                <w:szCs w:val="20"/>
                <w:highlight w:val="none"/>
              </w:rPr>
            </w:pPr>
          </w:p>
        </w:tc>
        <w:tc>
          <w:tcPr>
            <w:tcW w:w="659" w:type="dxa"/>
            <w:gridSpan w:val="2"/>
            <w:vMerge w:val="continue"/>
            <w:vAlign w:val="center"/>
          </w:tcPr>
          <w:p>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sz w:val="20"/>
                <w:szCs w:val="20"/>
                <w:highlight w:val="none"/>
              </w:rPr>
            </w:pPr>
          </w:p>
        </w:tc>
        <w:tc>
          <w:tcPr>
            <w:tcW w:w="1545" w:type="dxa"/>
            <w:gridSpan w:val="2"/>
            <w:tcBorders>
              <w:right w:val="single" w:color="auto" w:sz="4" w:space="0"/>
            </w:tcBorders>
            <w:vAlign w:val="center"/>
          </w:tcPr>
          <w:p>
            <w:pPr>
              <w:keepNext w:val="0"/>
              <w:keepLines w:val="0"/>
              <w:pageBreakBefore w:val="0"/>
              <w:kinsoku/>
              <w:wordWrap/>
              <w:overflowPunct/>
              <w:topLinePunct w:val="0"/>
              <w:autoSpaceDE/>
              <w:bidi w:val="0"/>
              <w:adjustRightInd/>
              <w:spacing w:line="480" w:lineRule="exact"/>
              <w:jc w:val="left"/>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指标3：政府采购执行率</w:t>
            </w:r>
          </w:p>
        </w:tc>
        <w:tc>
          <w:tcPr>
            <w:tcW w:w="2622" w:type="dxa"/>
            <w:gridSpan w:val="5"/>
            <w:tcBorders>
              <w:left w:val="single" w:color="auto" w:sz="4" w:space="0"/>
              <w:right w:val="single" w:color="auto" w:sz="4" w:space="0"/>
            </w:tcBorders>
            <w:vAlign w:val="center"/>
          </w:tcPr>
          <w:p>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b/>
                <w:color w:val="auto"/>
                <w:sz w:val="20"/>
                <w:szCs w:val="20"/>
                <w:highlight w:val="none"/>
              </w:rPr>
            </w:pPr>
            <w:r>
              <w:rPr>
                <w:rFonts w:hint="eastAsia" w:asciiTheme="minorEastAsia" w:hAnsiTheme="minorEastAsia" w:eastAsiaTheme="minorEastAsia" w:cstheme="minorEastAsia"/>
                <w:color w:val="auto"/>
                <w:sz w:val="20"/>
                <w:szCs w:val="20"/>
                <w:highlight w:val="none"/>
              </w:rPr>
              <w:t>100%</w:t>
            </w:r>
          </w:p>
        </w:tc>
        <w:tc>
          <w:tcPr>
            <w:tcW w:w="1867" w:type="dxa"/>
            <w:gridSpan w:val="2"/>
            <w:tcBorders>
              <w:left w:val="single" w:color="auto" w:sz="4" w:space="0"/>
            </w:tcBorders>
            <w:vAlign w:val="center"/>
          </w:tcPr>
          <w:p>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kern w:val="0"/>
                <w:sz w:val="20"/>
                <w:szCs w:val="20"/>
                <w:highlight w:val="none"/>
                <w:lang w:bidi="ar"/>
              </w:rPr>
            </w:pPr>
            <w:r>
              <w:rPr>
                <w:rFonts w:hint="eastAsia" w:asciiTheme="minorEastAsia" w:hAnsiTheme="minorEastAsia" w:eastAsiaTheme="minorEastAsia" w:cstheme="minorEastAsia"/>
                <w:bCs/>
                <w:color w:val="auto"/>
                <w:sz w:val="20"/>
                <w:szCs w:val="20"/>
                <w:highlight w:val="none"/>
              </w:rPr>
              <w:t>17.95%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829" w:hRule="atLeast"/>
          <w:jc w:val="center"/>
        </w:trPr>
        <w:tc>
          <w:tcPr>
            <w:tcW w:w="1195" w:type="dxa"/>
            <w:vMerge w:val="continue"/>
            <w:vAlign w:val="center"/>
          </w:tcPr>
          <w:p>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sz w:val="20"/>
                <w:szCs w:val="20"/>
                <w:highlight w:val="none"/>
              </w:rPr>
            </w:pPr>
          </w:p>
        </w:tc>
        <w:tc>
          <w:tcPr>
            <w:tcW w:w="1392" w:type="dxa"/>
            <w:gridSpan w:val="3"/>
            <w:vMerge w:val="continue"/>
            <w:vAlign w:val="center"/>
          </w:tcPr>
          <w:p>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sz w:val="20"/>
                <w:szCs w:val="20"/>
                <w:highlight w:val="none"/>
              </w:rPr>
            </w:pPr>
          </w:p>
        </w:tc>
        <w:tc>
          <w:tcPr>
            <w:tcW w:w="659" w:type="dxa"/>
            <w:gridSpan w:val="2"/>
            <w:vMerge w:val="continue"/>
            <w:vAlign w:val="center"/>
          </w:tcPr>
          <w:p>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sz w:val="20"/>
                <w:szCs w:val="20"/>
                <w:highlight w:val="none"/>
              </w:rPr>
            </w:pPr>
          </w:p>
        </w:tc>
        <w:tc>
          <w:tcPr>
            <w:tcW w:w="1545" w:type="dxa"/>
            <w:gridSpan w:val="2"/>
            <w:tcBorders>
              <w:right w:val="single" w:color="auto" w:sz="4" w:space="0"/>
            </w:tcBorders>
            <w:vAlign w:val="center"/>
          </w:tcPr>
          <w:p>
            <w:pPr>
              <w:keepNext w:val="0"/>
              <w:keepLines w:val="0"/>
              <w:pageBreakBefore w:val="0"/>
              <w:kinsoku/>
              <w:wordWrap/>
              <w:overflowPunct/>
              <w:topLinePunct w:val="0"/>
              <w:autoSpaceDE/>
              <w:bidi w:val="0"/>
              <w:adjustRightInd/>
              <w:spacing w:line="480" w:lineRule="exact"/>
              <w:jc w:val="left"/>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指标4：“三公经费”控制率</w:t>
            </w:r>
          </w:p>
        </w:tc>
        <w:tc>
          <w:tcPr>
            <w:tcW w:w="2622" w:type="dxa"/>
            <w:gridSpan w:val="5"/>
            <w:tcBorders>
              <w:left w:val="single" w:color="auto" w:sz="4" w:space="0"/>
              <w:right w:val="single" w:color="auto" w:sz="4" w:space="0"/>
            </w:tcBorders>
            <w:vAlign w:val="center"/>
          </w:tcPr>
          <w:p>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b/>
                <w:color w:val="auto"/>
                <w:sz w:val="20"/>
                <w:szCs w:val="20"/>
                <w:highlight w:val="none"/>
              </w:rPr>
            </w:pPr>
            <w:r>
              <w:rPr>
                <w:rFonts w:hint="eastAsia" w:asciiTheme="minorEastAsia" w:hAnsiTheme="minorEastAsia" w:eastAsiaTheme="minorEastAsia" w:cstheme="minorEastAsia"/>
                <w:color w:val="auto"/>
                <w:sz w:val="20"/>
                <w:szCs w:val="20"/>
                <w:highlight w:val="none"/>
              </w:rPr>
              <w:t>10</w:t>
            </w:r>
            <w:bookmarkStart w:id="15" w:name="_GoBack"/>
            <w:bookmarkEnd w:id="15"/>
            <w:r>
              <w:rPr>
                <w:rFonts w:hint="eastAsia" w:asciiTheme="minorEastAsia" w:hAnsiTheme="minorEastAsia" w:eastAsiaTheme="minorEastAsia" w:cstheme="minorEastAsia"/>
                <w:color w:val="auto"/>
                <w:sz w:val="20"/>
                <w:szCs w:val="20"/>
                <w:highlight w:val="none"/>
              </w:rPr>
              <w:t>0%</w:t>
            </w:r>
          </w:p>
        </w:tc>
        <w:tc>
          <w:tcPr>
            <w:tcW w:w="1867" w:type="dxa"/>
            <w:gridSpan w:val="2"/>
            <w:tcBorders>
              <w:left w:val="single" w:color="auto" w:sz="4" w:space="0"/>
            </w:tcBorders>
            <w:vAlign w:val="center"/>
          </w:tcPr>
          <w:p>
            <w:pPr>
              <w:keepNext w:val="0"/>
              <w:keepLines w:val="0"/>
              <w:pageBreakBefore w:val="0"/>
              <w:kinsoku/>
              <w:wordWrap/>
              <w:overflowPunct/>
              <w:topLinePunct w:val="0"/>
              <w:autoSpaceDE/>
              <w:bidi w:val="0"/>
              <w:adjustRightInd/>
              <w:spacing w:line="480" w:lineRule="exact"/>
              <w:jc w:val="center"/>
              <w:rPr>
                <w:rFonts w:hint="default" w:asciiTheme="minorEastAsia" w:hAnsiTheme="minorEastAsia" w:eastAsiaTheme="minorEastAsia" w:cstheme="minorEastAsia"/>
                <w:color w:val="auto"/>
                <w:kern w:val="0"/>
                <w:sz w:val="20"/>
                <w:szCs w:val="20"/>
                <w:highlight w:val="none"/>
                <w:lang w:val="en-US" w:eastAsia="zh-CN" w:bidi="ar"/>
              </w:rPr>
            </w:pPr>
            <w:r>
              <w:rPr>
                <w:rFonts w:hint="eastAsia" w:asciiTheme="minorEastAsia" w:hAnsiTheme="minorEastAsia" w:eastAsiaTheme="minorEastAsia" w:cstheme="minorEastAsia"/>
                <w:bCs/>
                <w:color w:val="auto"/>
                <w:sz w:val="20"/>
                <w:szCs w:val="20"/>
                <w:highlight w:val="none"/>
                <w:lang w:val="en-US" w:eastAsia="zh-CN"/>
              </w:rPr>
              <w:t>19.86%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544" w:hRule="atLeast"/>
          <w:jc w:val="center"/>
        </w:trPr>
        <w:tc>
          <w:tcPr>
            <w:tcW w:w="1195" w:type="dxa"/>
            <w:vMerge w:val="continue"/>
            <w:vAlign w:val="center"/>
          </w:tcPr>
          <w:p>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sz w:val="20"/>
                <w:szCs w:val="20"/>
                <w:highlight w:val="none"/>
              </w:rPr>
            </w:pPr>
          </w:p>
        </w:tc>
        <w:tc>
          <w:tcPr>
            <w:tcW w:w="1392" w:type="dxa"/>
            <w:gridSpan w:val="3"/>
            <w:vMerge w:val="restart"/>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效益目标</w:t>
            </w:r>
          </w:p>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（预期实现的效益）</w:t>
            </w:r>
          </w:p>
        </w:tc>
        <w:tc>
          <w:tcPr>
            <w:tcW w:w="659" w:type="dxa"/>
            <w:gridSpan w:val="2"/>
            <w:vAlign w:val="center"/>
          </w:tcPr>
          <w:p>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社会</w:t>
            </w:r>
          </w:p>
          <w:p>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效益</w:t>
            </w:r>
          </w:p>
        </w:tc>
        <w:tc>
          <w:tcPr>
            <w:tcW w:w="1545" w:type="dxa"/>
            <w:gridSpan w:val="2"/>
            <w:tcBorders>
              <w:right w:val="single" w:color="auto" w:sz="4" w:space="0"/>
            </w:tcBorders>
            <w:vAlign w:val="center"/>
          </w:tcPr>
          <w:p>
            <w:pPr>
              <w:keepNext w:val="0"/>
              <w:keepLines w:val="0"/>
              <w:pageBreakBefore w:val="0"/>
              <w:kinsoku/>
              <w:wordWrap/>
              <w:overflowPunct/>
              <w:topLinePunct w:val="0"/>
              <w:autoSpaceDE/>
              <w:bidi w:val="0"/>
              <w:adjustRightInd/>
              <w:spacing w:line="480" w:lineRule="exact"/>
              <w:jc w:val="left"/>
              <w:rPr>
                <w:rFonts w:hint="eastAsia" w:asciiTheme="minorEastAsia" w:hAnsiTheme="minorEastAsia" w:eastAsiaTheme="minorEastAsia" w:cstheme="minorEastAsia"/>
                <w:color w:val="auto"/>
                <w:sz w:val="20"/>
                <w:szCs w:val="20"/>
                <w:highlight w:val="none"/>
                <w:lang w:eastAsia="zh-CN"/>
              </w:rPr>
            </w:pPr>
            <w:r>
              <w:rPr>
                <w:rFonts w:hint="eastAsia" w:asciiTheme="minorEastAsia" w:hAnsiTheme="minorEastAsia" w:eastAsiaTheme="minorEastAsia" w:cstheme="minorEastAsia"/>
                <w:color w:val="auto"/>
                <w:kern w:val="0"/>
                <w:sz w:val="20"/>
                <w:szCs w:val="20"/>
                <w:highlight w:val="none"/>
                <w:lang w:bidi="ar"/>
              </w:rPr>
              <w:t>提高转贷应急资金运营效率</w:t>
            </w:r>
            <w:r>
              <w:rPr>
                <w:rFonts w:hint="eastAsia" w:asciiTheme="minorEastAsia" w:hAnsiTheme="minorEastAsia" w:eastAsiaTheme="minorEastAsia" w:cstheme="minorEastAsia"/>
                <w:color w:val="auto"/>
                <w:kern w:val="0"/>
                <w:sz w:val="20"/>
                <w:szCs w:val="20"/>
                <w:highlight w:val="none"/>
                <w:lang w:eastAsia="zh-CN" w:bidi="ar"/>
              </w:rPr>
              <w:t>，</w:t>
            </w:r>
            <w:r>
              <w:rPr>
                <w:rFonts w:hint="eastAsia" w:asciiTheme="minorEastAsia" w:hAnsiTheme="minorEastAsia" w:eastAsiaTheme="minorEastAsia" w:cstheme="minorEastAsia"/>
                <w:color w:val="auto"/>
                <w:kern w:val="0"/>
                <w:sz w:val="20"/>
                <w:szCs w:val="20"/>
                <w:highlight w:val="none"/>
                <w:lang w:bidi="ar"/>
              </w:rPr>
              <w:t>落实电价优惠政策</w:t>
            </w:r>
            <w:r>
              <w:rPr>
                <w:rFonts w:hint="eastAsia" w:asciiTheme="minorEastAsia" w:hAnsiTheme="minorEastAsia" w:eastAsiaTheme="minorEastAsia" w:cstheme="minorEastAsia"/>
                <w:color w:val="auto"/>
                <w:kern w:val="0"/>
                <w:sz w:val="20"/>
                <w:szCs w:val="20"/>
                <w:highlight w:val="none"/>
                <w:lang w:eastAsia="zh-CN" w:bidi="ar"/>
              </w:rPr>
              <w:t>，优惠政策助推企业效益快速转好。</w:t>
            </w:r>
          </w:p>
        </w:tc>
        <w:tc>
          <w:tcPr>
            <w:tcW w:w="2622" w:type="dxa"/>
            <w:gridSpan w:val="5"/>
            <w:tcBorders>
              <w:left w:val="single" w:color="auto" w:sz="4" w:space="0"/>
              <w:right w:val="single" w:color="auto" w:sz="4" w:space="0"/>
            </w:tcBorders>
            <w:vAlign w:val="center"/>
          </w:tcPr>
          <w:p>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b/>
                <w:color w:val="auto"/>
                <w:sz w:val="20"/>
                <w:szCs w:val="20"/>
                <w:highlight w:val="none"/>
                <w:lang w:eastAsia="zh-CN"/>
              </w:rPr>
            </w:pPr>
            <w:r>
              <w:rPr>
                <w:rFonts w:hint="eastAsia" w:asciiTheme="minorEastAsia" w:hAnsiTheme="minorEastAsia" w:eastAsiaTheme="minorEastAsia" w:cstheme="minorEastAsia"/>
                <w:color w:val="auto"/>
                <w:kern w:val="0"/>
                <w:sz w:val="20"/>
                <w:szCs w:val="20"/>
                <w:highlight w:val="none"/>
                <w:lang w:bidi="ar"/>
              </w:rPr>
              <w:t>全年转贷金额达6亿元</w:t>
            </w:r>
            <w:r>
              <w:rPr>
                <w:rFonts w:hint="eastAsia" w:asciiTheme="minorEastAsia" w:hAnsiTheme="minorEastAsia" w:eastAsiaTheme="minorEastAsia" w:cstheme="minorEastAsia"/>
                <w:color w:val="auto"/>
                <w:kern w:val="0"/>
                <w:sz w:val="20"/>
                <w:szCs w:val="20"/>
                <w:highlight w:val="none"/>
                <w:lang w:val="en-US" w:eastAsia="zh-CN" w:bidi="ar"/>
              </w:rPr>
              <w:t>左右，州工业企业享受电价优惠额度1.2亿元以上</w:t>
            </w:r>
          </w:p>
        </w:tc>
        <w:tc>
          <w:tcPr>
            <w:tcW w:w="1867" w:type="dxa"/>
            <w:gridSpan w:val="2"/>
            <w:tcBorders>
              <w:left w:val="single" w:color="auto" w:sz="4" w:space="0"/>
            </w:tcBorders>
            <w:vAlign w:val="center"/>
          </w:tcPr>
          <w:p>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kern w:val="0"/>
                <w:sz w:val="20"/>
                <w:szCs w:val="20"/>
                <w:highlight w:val="none"/>
                <w:lang w:bidi="ar"/>
              </w:rPr>
              <w:t>全年转贷金额6.16亿元；全州工业企业享受电价优惠额度达1.32亿元。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1052" w:hRule="atLeast"/>
          <w:jc w:val="center"/>
        </w:trPr>
        <w:tc>
          <w:tcPr>
            <w:tcW w:w="1195" w:type="dxa"/>
            <w:vMerge w:val="continue"/>
            <w:vAlign w:val="center"/>
          </w:tcPr>
          <w:p>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sz w:val="20"/>
                <w:szCs w:val="20"/>
                <w:highlight w:val="none"/>
              </w:rPr>
            </w:pPr>
          </w:p>
        </w:tc>
        <w:tc>
          <w:tcPr>
            <w:tcW w:w="1392" w:type="dxa"/>
            <w:gridSpan w:val="3"/>
            <w:vMerge w:val="continue"/>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rPr>
            </w:pPr>
          </w:p>
        </w:tc>
        <w:tc>
          <w:tcPr>
            <w:tcW w:w="659" w:type="dxa"/>
            <w:gridSpan w:val="2"/>
            <w:vAlign w:val="center"/>
          </w:tcPr>
          <w:p>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经济</w:t>
            </w:r>
          </w:p>
          <w:p>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效益</w:t>
            </w:r>
          </w:p>
        </w:tc>
        <w:tc>
          <w:tcPr>
            <w:tcW w:w="1545" w:type="dxa"/>
            <w:gridSpan w:val="2"/>
            <w:tcBorders>
              <w:right w:val="single" w:color="auto" w:sz="4" w:space="0"/>
            </w:tcBorders>
            <w:vAlign w:val="center"/>
          </w:tcPr>
          <w:p>
            <w:pPr>
              <w:keepNext w:val="0"/>
              <w:keepLines w:val="0"/>
              <w:pageBreakBefore w:val="0"/>
              <w:kinsoku/>
              <w:wordWrap/>
              <w:overflowPunct/>
              <w:topLinePunct w:val="0"/>
              <w:autoSpaceDE/>
              <w:bidi w:val="0"/>
              <w:adjustRightInd/>
              <w:spacing w:line="480" w:lineRule="exact"/>
              <w:jc w:val="left"/>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kern w:val="0"/>
                <w:sz w:val="20"/>
                <w:szCs w:val="20"/>
                <w:highlight w:val="none"/>
                <w:lang w:bidi="ar"/>
              </w:rPr>
              <w:t>工业强劲回升，为全州经济社会发展提供强有力支撑</w:t>
            </w:r>
          </w:p>
        </w:tc>
        <w:tc>
          <w:tcPr>
            <w:tcW w:w="2622" w:type="dxa"/>
            <w:gridSpan w:val="5"/>
            <w:tcBorders>
              <w:left w:val="single" w:color="auto" w:sz="4" w:space="0"/>
              <w:right w:val="single" w:color="auto" w:sz="4" w:space="0"/>
            </w:tcBorders>
            <w:vAlign w:val="center"/>
          </w:tcPr>
          <w:p>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b/>
                <w:color w:val="auto"/>
                <w:sz w:val="20"/>
                <w:szCs w:val="20"/>
                <w:highlight w:val="none"/>
                <w:lang w:eastAsia="zh-CN"/>
              </w:rPr>
            </w:pPr>
            <w:r>
              <w:rPr>
                <w:rFonts w:hint="eastAsia" w:asciiTheme="minorEastAsia" w:hAnsiTheme="minorEastAsia" w:eastAsiaTheme="minorEastAsia" w:cstheme="minorEastAsia"/>
                <w:color w:val="auto"/>
                <w:kern w:val="0"/>
                <w:sz w:val="20"/>
                <w:szCs w:val="20"/>
                <w:highlight w:val="none"/>
                <w:lang w:bidi="ar"/>
              </w:rPr>
              <w:t>全州规模工业增加值增长8%左右</w:t>
            </w:r>
          </w:p>
        </w:tc>
        <w:tc>
          <w:tcPr>
            <w:tcW w:w="1867" w:type="dxa"/>
            <w:gridSpan w:val="2"/>
            <w:tcBorders>
              <w:left w:val="single" w:color="auto" w:sz="4" w:space="0"/>
            </w:tcBorders>
            <w:vAlign w:val="center"/>
          </w:tcPr>
          <w:p>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kern w:val="0"/>
                <w:sz w:val="20"/>
                <w:szCs w:val="20"/>
                <w:highlight w:val="none"/>
                <w:lang w:eastAsia="zh-CN" w:bidi="ar"/>
              </w:rPr>
            </w:pPr>
            <w:r>
              <w:rPr>
                <w:rFonts w:hint="eastAsia" w:asciiTheme="minorEastAsia" w:hAnsiTheme="minorEastAsia" w:eastAsiaTheme="minorEastAsia" w:cstheme="minorEastAsia"/>
                <w:color w:val="auto"/>
                <w:kern w:val="0"/>
                <w:sz w:val="20"/>
                <w:szCs w:val="20"/>
                <w:highlight w:val="none"/>
                <w:lang w:bidi="ar"/>
              </w:rPr>
              <w:t>工业增加值增长</w:t>
            </w:r>
            <w:r>
              <w:rPr>
                <w:rFonts w:hint="eastAsia" w:asciiTheme="minorEastAsia" w:hAnsiTheme="minorEastAsia" w:eastAsiaTheme="minorEastAsia" w:cstheme="minorEastAsia"/>
                <w:color w:val="auto"/>
                <w:kern w:val="0"/>
                <w:sz w:val="20"/>
                <w:szCs w:val="20"/>
                <w:highlight w:val="none"/>
                <w:lang w:val="en-US" w:eastAsia="zh-CN" w:bidi="ar"/>
              </w:rPr>
              <w:t>18.1</w:t>
            </w:r>
            <w:r>
              <w:rPr>
                <w:rFonts w:hint="eastAsia" w:asciiTheme="minorEastAsia" w:hAnsiTheme="minorEastAsia" w:eastAsiaTheme="minorEastAsia" w:cstheme="minorEastAsia"/>
                <w:color w:val="auto"/>
                <w:kern w:val="0"/>
                <w:sz w:val="20"/>
                <w:szCs w:val="20"/>
                <w:highlight w:val="none"/>
                <w:lang w:bidi="ar"/>
              </w:rPr>
              <w:t>%</w:t>
            </w:r>
            <w:r>
              <w:rPr>
                <w:rFonts w:hint="eastAsia" w:asciiTheme="minorEastAsia" w:hAnsiTheme="minorEastAsia" w:eastAsiaTheme="minorEastAsia" w:cstheme="minorEastAsia"/>
                <w:color w:val="auto"/>
                <w:kern w:val="0"/>
                <w:sz w:val="20"/>
                <w:szCs w:val="20"/>
                <w:highlight w:val="none"/>
                <w:lang w:eastAsia="zh-CN" w:bidi="ar"/>
              </w:rPr>
              <w:t>，排名全省第一；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511" w:hRule="atLeast"/>
          <w:jc w:val="center"/>
        </w:trPr>
        <w:tc>
          <w:tcPr>
            <w:tcW w:w="1195" w:type="dxa"/>
            <w:vMerge w:val="continue"/>
            <w:vAlign w:val="center"/>
          </w:tcPr>
          <w:p>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sz w:val="20"/>
                <w:szCs w:val="20"/>
                <w:highlight w:val="none"/>
              </w:rPr>
            </w:pPr>
          </w:p>
        </w:tc>
        <w:tc>
          <w:tcPr>
            <w:tcW w:w="1392" w:type="dxa"/>
            <w:gridSpan w:val="3"/>
            <w:vMerge w:val="continue"/>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rPr>
            </w:pPr>
          </w:p>
        </w:tc>
        <w:tc>
          <w:tcPr>
            <w:tcW w:w="659" w:type="dxa"/>
            <w:gridSpan w:val="2"/>
            <w:vMerge w:val="restart"/>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社会公众或服务对象满意度</w:t>
            </w:r>
          </w:p>
        </w:tc>
        <w:tc>
          <w:tcPr>
            <w:tcW w:w="1545" w:type="dxa"/>
            <w:gridSpan w:val="2"/>
            <w:tcBorders>
              <w:right w:val="single" w:color="auto" w:sz="4" w:space="0"/>
            </w:tcBorders>
            <w:vAlign w:val="center"/>
          </w:tcPr>
          <w:p>
            <w:pPr>
              <w:keepNext w:val="0"/>
              <w:keepLines w:val="0"/>
              <w:pageBreakBefore w:val="0"/>
              <w:widowControl/>
              <w:kinsoku/>
              <w:wordWrap/>
              <w:overflowPunct/>
              <w:topLinePunct w:val="0"/>
              <w:autoSpaceDE/>
              <w:bidi w:val="0"/>
              <w:adjustRightInd/>
              <w:spacing w:after="200" w:line="480" w:lineRule="exact"/>
              <w:jc w:val="left"/>
              <w:rPr>
                <w:rFonts w:hint="eastAsia" w:asciiTheme="minorEastAsia" w:hAnsiTheme="minorEastAsia" w:eastAsiaTheme="minorEastAsia" w:cstheme="minorEastAsia"/>
                <w:color w:val="auto"/>
                <w:sz w:val="20"/>
                <w:szCs w:val="20"/>
                <w:highlight w:val="none"/>
                <w:lang w:bidi="ar"/>
              </w:rPr>
            </w:pPr>
            <w:r>
              <w:rPr>
                <w:rFonts w:hint="eastAsia" w:asciiTheme="minorEastAsia" w:hAnsiTheme="minorEastAsia" w:eastAsiaTheme="minorEastAsia" w:cstheme="minorEastAsia"/>
                <w:color w:val="auto"/>
                <w:kern w:val="0"/>
                <w:sz w:val="20"/>
                <w:szCs w:val="20"/>
                <w:highlight w:val="none"/>
                <w:lang w:bidi="ar"/>
              </w:rPr>
              <w:t>指标1：服务对象满意度</w:t>
            </w:r>
          </w:p>
        </w:tc>
        <w:tc>
          <w:tcPr>
            <w:tcW w:w="2622" w:type="dxa"/>
            <w:gridSpan w:val="5"/>
            <w:tcBorders>
              <w:left w:val="single" w:color="auto" w:sz="4" w:space="0"/>
              <w:right w:val="single" w:color="auto" w:sz="4" w:space="0"/>
            </w:tcBorders>
            <w:vAlign w:val="center"/>
          </w:tcPr>
          <w:p>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b/>
                <w:color w:val="auto"/>
                <w:sz w:val="20"/>
                <w:szCs w:val="20"/>
                <w:highlight w:val="none"/>
              </w:rPr>
            </w:pPr>
            <w:r>
              <w:rPr>
                <w:rFonts w:hint="eastAsia" w:asciiTheme="minorEastAsia" w:hAnsiTheme="minorEastAsia" w:eastAsiaTheme="minorEastAsia" w:cstheme="minorEastAsia"/>
                <w:color w:val="auto"/>
                <w:sz w:val="20"/>
                <w:szCs w:val="20"/>
                <w:highlight w:val="none"/>
              </w:rPr>
              <w:t>98%</w:t>
            </w:r>
          </w:p>
        </w:tc>
        <w:tc>
          <w:tcPr>
            <w:tcW w:w="1867" w:type="dxa"/>
            <w:gridSpan w:val="2"/>
            <w:tcBorders>
              <w:left w:val="single" w:color="auto" w:sz="4" w:space="0"/>
            </w:tcBorders>
            <w:vAlign w:val="center"/>
          </w:tcPr>
          <w:p>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kern w:val="0"/>
                <w:sz w:val="20"/>
                <w:szCs w:val="20"/>
                <w:highlight w:val="none"/>
                <w:lang w:bidi="ar"/>
              </w:rPr>
            </w:pPr>
            <w:r>
              <w:rPr>
                <w:rFonts w:hint="eastAsia" w:asciiTheme="minorEastAsia" w:hAnsiTheme="minorEastAsia" w:eastAsiaTheme="minorEastAsia" w:cstheme="minorEastAsia"/>
                <w:color w:val="auto"/>
                <w:sz w:val="20"/>
                <w:szCs w:val="20"/>
                <w:highlight w:val="none"/>
              </w:rPr>
              <w:t>98%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1" w:hRule="atLeast"/>
          <w:jc w:val="center"/>
        </w:trPr>
        <w:tc>
          <w:tcPr>
            <w:tcW w:w="1195" w:type="dxa"/>
            <w:vMerge w:val="continue"/>
            <w:vAlign w:val="center"/>
          </w:tcPr>
          <w:p>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sz w:val="20"/>
                <w:szCs w:val="20"/>
                <w:highlight w:val="none"/>
              </w:rPr>
            </w:pPr>
          </w:p>
        </w:tc>
        <w:tc>
          <w:tcPr>
            <w:tcW w:w="1392" w:type="dxa"/>
            <w:gridSpan w:val="3"/>
            <w:vMerge w:val="continue"/>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rPr>
            </w:pPr>
          </w:p>
        </w:tc>
        <w:tc>
          <w:tcPr>
            <w:tcW w:w="659" w:type="dxa"/>
            <w:gridSpan w:val="2"/>
            <w:vMerge w:val="continue"/>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rPr>
            </w:pPr>
          </w:p>
        </w:tc>
        <w:tc>
          <w:tcPr>
            <w:tcW w:w="1545" w:type="dxa"/>
            <w:gridSpan w:val="2"/>
            <w:tcBorders>
              <w:right w:val="single" w:color="auto" w:sz="4" w:space="0"/>
            </w:tcBorders>
            <w:vAlign w:val="center"/>
          </w:tcPr>
          <w:p>
            <w:pPr>
              <w:keepNext w:val="0"/>
              <w:keepLines w:val="0"/>
              <w:pageBreakBefore w:val="0"/>
              <w:widowControl/>
              <w:kinsoku/>
              <w:wordWrap/>
              <w:overflowPunct/>
              <w:topLinePunct w:val="0"/>
              <w:autoSpaceDE/>
              <w:bidi w:val="0"/>
              <w:adjustRightInd/>
              <w:spacing w:after="200" w:line="480" w:lineRule="exact"/>
              <w:jc w:val="left"/>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kern w:val="0"/>
                <w:sz w:val="20"/>
                <w:szCs w:val="20"/>
                <w:highlight w:val="none"/>
                <w:lang w:bidi="ar"/>
              </w:rPr>
              <w:t>指标2：社会群众满意度</w:t>
            </w:r>
          </w:p>
        </w:tc>
        <w:tc>
          <w:tcPr>
            <w:tcW w:w="2622" w:type="dxa"/>
            <w:gridSpan w:val="5"/>
            <w:tcBorders>
              <w:left w:val="single" w:color="auto" w:sz="4" w:space="0"/>
              <w:right w:val="single" w:color="auto" w:sz="4" w:space="0"/>
            </w:tcBorders>
            <w:vAlign w:val="center"/>
          </w:tcPr>
          <w:p>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b/>
                <w:color w:val="auto"/>
                <w:sz w:val="20"/>
                <w:szCs w:val="20"/>
                <w:highlight w:val="none"/>
              </w:rPr>
            </w:pPr>
            <w:r>
              <w:rPr>
                <w:rFonts w:hint="eastAsia" w:asciiTheme="minorEastAsia" w:hAnsiTheme="minorEastAsia" w:eastAsiaTheme="minorEastAsia" w:cstheme="minorEastAsia"/>
                <w:color w:val="auto"/>
                <w:sz w:val="20"/>
                <w:szCs w:val="20"/>
                <w:highlight w:val="none"/>
              </w:rPr>
              <w:t>98%</w:t>
            </w:r>
          </w:p>
        </w:tc>
        <w:tc>
          <w:tcPr>
            <w:tcW w:w="1867" w:type="dxa"/>
            <w:gridSpan w:val="2"/>
            <w:tcBorders>
              <w:left w:val="single" w:color="auto" w:sz="4" w:space="0"/>
            </w:tcBorders>
            <w:vAlign w:val="center"/>
          </w:tcPr>
          <w:p>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kern w:val="0"/>
                <w:sz w:val="20"/>
                <w:szCs w:val="20"/>
                <w:highlight w:val="none"/>
                <w:lang w:bidi="ar"/>
              </w:rPr>
            </w:pPr>
            <w:r>
              <w:rPr>
                <w:rFonts w:hint="eastAsia" w:asciiTheme="minorEastAsia" w:hAnsiTheme="minorEastAsia" w:eastAsiaTheme="minorEastAsia" w:cstheme="minorEastAsia"/>
                <w:color w:val="auto"/>
                <w:sz w:val="20"/>
                <w:szCs w:val="20"/>
                <w:highlight w:val="none"/>
              </w:rPr>
              <w:t>98%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511" w:hRule="atLeast"/>
          <w:jc w:val="center"/>
        </w:trPr>
        <w:tc>
          <w:tcPr>
            <w:tcW w:w="1195" w:type="dxa"/>
            <w:vMerge w:val="continue"/>
            <w:vAlign w:val="center"/>
          </w:tcPr>
          <w:p>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sz w:val="20"/>
                <w:szCs w:val="20"/>
                <w:highlight w:val="none"/>
              </w:rPr>
            </w:pPr>
          </w:p>
        </w:tc>
        <w:tc>
          <w:tcPr>
            <w:tcW w:w="1392" w:type="dxa"/>
            <w:gridSpan w:val="3"/>
            <w:vMerge w:val="continue"/>
            <w:vAlign w:val="center"/>
          </w:tcPr>
          <w:p>
            <w:pPr>
              <w:keepNext w:val="0"/>
              <w:keepLines w:val="0"/>
              <w:pageBreakBefore w:val="0"/>
              <w:kinsoku/>
              <w:wordWrap/>
              <w:overflowPunct/>
              <w:topLinePunct w:val="0"/>
              <w:autoSpaceDE/>
              <w:autoSpaceDN w:val="0"/>
              <w:bidi w:val="0"/>
              <w:adjustRightInd/>
              <w:spacing w:line="480" w:lineRule="exact"/>
              <w:jc w:val="center"/>
              <w:rPr>
                <w:rFonts w:hint="eastAsia" w:asciiTheme="minorEastAsia" w:hAnsiTheme="minorEastAsia" w:eastAsiaTheme="minorEastAsia" w:cstheme="minorEastAsia"/>
                <w:color w:val="auto"/>
                <w:sz w:val="20"/>
                <w:szCs w:val="20"/>
                <w:highlight w:val="none"/>
              </w:rPr>
            </w:pPr>
          </w:p>
        </w:tc>
        <w:tc>
          <w:tcPr>
            <w:tcW w:w="659" w:type="dxa"/>
            <w:gridSpan w:val="2"/>
            <w:vMerge w:val="continue"/>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rPr>
            </w:pPr>
          </w:p>
        </w:tc>
        <w:tc>
          <w:tcPr>
            <w:tcW w:w="1545" w:type="dxa"/>
            <w:gridSpan w:val="2"/>
            <w:tcBorders>
              <w:right w:val="single" w:color="auto" w:sz="4" w:space="0"/>
            </w:tcBorders>
            <w:vAlign w:val="center"/>
          </w:tcPr>
          <w:p>
            <w:pPr>
              <w:keepNext w:val="0"/>
              <w:keepLines w:val="0"/>
              <w:pageBreakBefore w:val="0"/>
              <w:widowControl/>
              <w:kinsoku/>
              <w:wordWrap/>
              <w:overflowPunct/>
              <w:topLinePunct w:val="0"/>
              <w:autoSpaceDE/>
              <w:bidi w:val="0"/>
              <w:adjustRightInd/>
              <w:spacing w:after="200" w:line="480" w:lineRule="exact"/>
              <w:jc w:val="left"/>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kern w:val="0"/>
                <w:sz w:val="20"/>
                <w:szCs w:val="20"/>
                <w:highlight w:val="none"/>
                <w:lang w:bidi="ar"/>
              </w:rPr>
              <w:t>指标3：部门内部员工满意度</w:t>
            </w:r>
          </w:p>
        </w:tc>
        <w:tc>
          <w:tcPr>
            <w:tcW w:w="2622" w:type="dxa"/>
            <w:gridSpan w:val="5"/>
            <w:tcBorders>
              <w:left w:val="single" w:color="auto" w:sz="4" w:space="0"/>
              <w:right w:val="single" w:color="auto" w:sz="4" w:space="0"/>
            </w:tcBorders>
            <w:vAlign w:val="center"/>
          </w:tcPr>
          <w:p>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b/>
                <w:color w:val="auto"/>
                <w:sz w:val="20"/>
                <w:szCs w:val="20"/>
                <w:highlight w:val="none"/>
              </w:rPr>
            </w:pPr>
            <w:r>
              <w:rPr>
                <w:rFonts w:hint="eastAsia" w:asciiTheme="minorEastAsia" w:hAnsiTheme="minorEastAsia" w:eastAsiaTheme="minorEastAsia" w:cstheme="minorEastAsia"/>
                <w:color w:val="auto"/>
                <w:sz w:val="20"/>
                <w:szCs w:val="20"/>
                <w:highlight w:val="none"/>
              </w:rPr>
              <w:t>98%</w:t>
            </w:r>
          </w:p>
        </w:tc>
        <w:tc>
          <w:tcPr>
            <w:tcW w:w="1867" w:type="dxa"/>
            <w:gridSpan w:val="2"/>
            <w:tcBorders>
              <w:left w:val="single" w:color="auto" w:sz="4" w:space="0"/>
            </w:tcBorders>
            <w:vAlign w:val="center"/>
          </w:tcPr>
          <w:p>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kern w:val="0"/>
                <w:sz w:val="20"/>
                <w:szCs w:val="20"/>
                <w:highlight w:val="none"/>
                <w:lang w:bidi="ar"/>
              </w:rPr>
            </w:pPr>
            <w:r>
              <w:rPr>
                <w:rFonts w:hint="eastAsia" w:asciiTheme="minorEastAsia" w:hAnsiTheme="minorEastAsia" w:eastAsiaTheme="minorEastAsia" w:cstheme="minorEastAsia"/>
                <w:color w:val="auto"/>
                <w:sz w:val="20"/>
                <w:szCs w:val="20"/>
                <w:highlight w:val="none"/>
              </w:rPr>
              <w:t>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75" w:hRule="atLeast"/>
          <w:jc w:val="center"/>
        </w:trPr>
        <w:tc>
          <w:tcPr>
            <w:tcW w:w="2587" w:type="dxa"/>
            <w:gridSpan w:val="4"/>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绩效自评综合得分</w:t>
            </w:r>
          </w:p>
        </w:tc>
        <w:tc>
          <w:tcPr>
            <w:tcW w:w="6693" w:type="dxa"/>
            <w:gridSpan w:val="11"/>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rPr>
              <w:t>评分：</w:t>
            </w:r>
            <w:r>
              <w:rPr>
                <w:rFonts w:hint="eastAsia" w:asciiTheme="minorEastAsia" w:hAnsiTheme="minorEastAsia" w:eastAsiaTheme="minorEastAsia" w:cstheme="minorEastAsia"/>
                <w:color w:val="auto"/>
                <w:sz w:val="20"/>
                <w:szCs w:val="20"/>
                <w:highlight w:val="none"/>
                <w:lang w:val="en-US" w:eastAsia="zh-CN"/>
              </w:rPr>
              <w:t>98.36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633" w:hRule="atLeast"/>
          <w:jc w:val="center"/>
        </w:trPr>
        <w:tc>
          <w:tcPr>
            <w:tcW w:w="2587" w:type="dxa"/>
            <w:gridSpan w:val="4"/>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评价等次</w:t>
            </w:r>
          </w:p>
        </w:tc>
        <w:tc>
          <w:tcPr>
            <w:tcW w:w="6693" w:type="dxa"/>
            <w:gridSpan w:val="11"/>
            <w:vAlign w:val="center"/>
          </w:tcPr>
          <w:p>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等级：优</w:t>
            </w:r>
          </w:p>
          <w:p>
            <w:pPr>
              <w:keepNext w:val="0"/>
              <w:keepLines w:val="0"/>
              <w:pageBreakBefore w:val="0"/>
              <w:kinsoku/>
              <w:wordWrap/>
              <w:overflowPunct/>
              <w:topLinePunct w:val="0"/>
              <w:autoSpaceDE/>
              <w:autoSpaceDN w:val="0"/>
              <w:bidi w:val="0"/>
              <w:adjustRightInd/>
              <w:spacing w:line="480" w:lineRule="exact"/>
              <w:textAlignment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备注：90（含）—100分为优；80（含）—90分为良； 60（含）—80 分为较差；60分以下为差。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263" w:hRule="atLeast"/>
          <w:jc w:val="center"/>
        </w:trPr>
        <w:tc>
          <w:tcPr>
            <w:tcW w:w="9280" w:type="dxa"/>
            <w:gridSpan w:val="15"/>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四、评价人员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21" w:hRule="atLeast"/>
          <w:jc w:val="center"/>
        </w:trPr>
        <w:tc>
          <w:tcPr>
            <w:tcW w:w="1371" w:type="dxa"/>
            <w:gridSpan w:val="2"/>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姓  名</w:t>
            </w:r>
          </w:p>
        </w:tc>
        <w:tc>
          <w:tcPr>
            <w:tcW w:w="3420" w:type="dxa"/>
            <w:gridSpan w:val="6"/>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职务/职称</w:t>
            </w:r>
          </w:p>
        </w:tc>
        <w:tc>
          <w:tcPr>
            <w:tcW w:w="1428" w:type="dxa"/>
            <w:gridSpan w:val="2"/>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单  位</w:t>
            </w:r>
          </w:p>
        </w:tc>
        <w:tc>
          <w:tcPr>
            <w:tcW w:w="3061" w:type="dxa"/>
            <w:gridSpan w:val="5"/>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签  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633" w:hRule="atLeast"/>
          <w:jc w:val="center"/>
        </w:trPr>
        <w:tc>
          <w:tcPr>
            <w:tcW w:w="1371" w:type="dxa"/>
            <w:gridSpan w:val="2"/>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lang w:val="en-US" w:eastAsia="zh-CN"/>
              </w:rPr>
              <w:t>吴廷梓</w:t>
            </w:r>
          </w:p>
        </w:tc>
        <w:tc>
          <w:tcPr>
            <w:tcW w:w="3420" w:type="dxa"/>
            <w:gridSpan w:val="6"/>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lang w:val="en-US" w:eastAsia="zh-CN"/>
              </w:rPr>
              <w:t>党组成员.副</w:t>
            </w:r>
            <w:r>
              <w:rPr>
                <w:rFonts w:hint="eastAsia" w:asciiTheme="minorEastAsia" w:hAnsiTheme="minorEastAsia" w:eastAsiaTheme="minorEastAsia" w:cstheme="minorEastAsia"/>
                <w:color w:val="auto"/>
                <w:sz w:val="20"/>
                <w:szCs w:val="20"/>
                <w:highlight w:val="none"/>
              </w:rPr>
              <w:t>局长</w:t>
            </w:r>
          </w:p>
        </w:tc>
        <w:tc>
          <w:tcPr>
            <w:tcW w:w="1428" w:type="dxa"/>
            <w:gridSpan w:val="2"/>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湘西自治州工业和信息化局</w:t>
            </w:r>
          </w:p>
        </w:tc>
        <w:tc>
          <w:tcPr>
            <w:tcW w:w="3061" w:type="dxa"/>
            <w:gridSpan w:val="5"/>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633" w:hRule="atLeast"/>
          <w:jc w:val="center"/>
        </w:trPr>
        <w:tc>
          <w:tcPr>
            <w:tcW w:w="1371" w:type="dxa"/>
            <w:gridSpan w:val="2"/>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lang w:val="en-US" w:eastAsia="zh-CN"/>
              </w:rPr>
              <w:t>田春华</w:t>
            </w:r>
          </w:p>
        </w:tc>
        <w:tc>
          <w:tcPr>
            <w:tcW w:w="3420" w:type="dxa"/>
            <w:gridSpan w:val="6"/>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财务</w:t>
            </w:r>
            <w:r>
              <w:rPr>
                <w:rFonts w:hint="eastAsia" w:asciiTheme="minorEastAsia" w:hAnsiTheme="minorEastAsia" w:eastAsiaTheme="minorEastAsia" w:cstheme="minorEastAsia"/>
                <w:color w:val="auto"/>
                <w:sz w:val="20"/>
                <w:szCs w:val="20"/>
                <w:highlight w:val="none"/>
                <w:lang w:val="en-US" w:eastAsia="zh-CN"/>
              </w:rPr>
              <w:t>科</w:t>
            </w:r>
            <w:r>
              <w:rPr>
                <w:rFonts w:hint="eastAsia" w:asciiTheme="minorEastAsia" w:hAnsiTheme="minorEastAsia" w:eastAsiaTheme="minorEastAsia" w:cstheme="minorEastAsia"/>
                <w:color w:val="auto"/>
                <w:sz w:val="20"/>
                <w:szCs w:val="20"/>
                <w:highlight w:val="none"/>
              </w:rPr>
              <w:t>科长</w:t>
            </w:r>
          </w:p>
        </w:tc>
        <w:tc>
          <w:tcPr>
            <w:tcW w:w="1428" w:type="dxa"/>
            <w:gridSpan w:val="2"/>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湘西自治州工业和信息化局</w:t>
            </w:r>
          </w:p>
        </w:tc>
        <w:tc>
          <w:tcPr>
            <w:tcW w:w="3061" w:type="dxa"/>
            <w:gridSpan w:val="5"/>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633" w:hRule="atLeast"/>
          <w:jc w:val="center"/>
        </w:trPr>
        <w:tc>
          <w:tcPr>
            <w:tcW w:w="1371" w:type="dxa"/>
            <w:gridSpan w:val="2"/>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rPr>
              <w:t>杨琛</w:t>
            </w:r>
          </w:p>
        </w:tc>
        <w:tc>
          <w:tcPr>
            <w:tcW w:w="3420" w:type="dxa"/>
            <w:gridSpan w:val="6"/>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rPr>
              <w:t>财务</w:t>
            </w:r>
            <w:r>
              <w:rPr>
                <w:rFonts w:hint="eastAsia" w:asciiTheme="minorEastAsia" w:hAnsiTheme="minorEastAsia" w:eastAsiaTheme="minorEastAsia" w:cstheme="minorEastAsia"/>
                <w:color w:val="auto"/>
                <w:sz w:val="20"/>
                <w:szCs w:val="20"/>
                <w:highlight w:val="none"/>
                <w:lang w:val="en-US" w:eastAsia="zh-CN"/>
              </w:rPr>
              <w:t>科副</w:t>
            </w:r>
            <w:r>
              <w:rPr>
                <w:rFonts w:hint="eastAsia" w:asciiTheme="minorEastAsia" w:hAnsiTheme="minorEastAsia" w:eastAsiaTheme="minorEastAsia" w:cstheme="minorEastAsia"/>
                <w:color w:val="auto"/>
                <w:sz w:val="20"/>
                <w:szCs w:val="20"/>
                <w:highlight w:val="none"/>
              </w:rPr>
              <w:t>科长</w:t>
            </w:r>
          </w:p>
        </w:tc>
        <w:tc>
          <w:tcPr>
            <w:tcW w:w="1428" w:type="dxa"/>
            <w:gridSpan w:val="2"/>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湘西自治州工业和信息化局</w:t>
            </w:r>
          </w:p>
        </w:tc>
        <w:tc>
          <w:tcPr>
            <w:tcW w:w="3061" w:type="dxa"/>
            <w:gridSpan w:val="5"/>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0"/>
                <w:szCs w:val="2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1890" w:hRule="atLeast"/>
          <w:jc w:val="center"/>
        </w:trPr>
        <w:tc>
          <w:tcPr>
            <w:tcW w:w="9280" w:type="dxa"/>
            <w:gridSpan w:val="15"/>
            <w:vAlign w:val="center"/>
          </w:tcPr>
          <w:p>
            <w:pPr>
              <w:keepNext w:val="0"/>
              <w:keepLines w:val="0"/>
              <w:pageBreakBefore w:val="0"/>
              <w:kinsoku/>
              <w:wordWrap/>
              <w:overflowPunct/>
              <w:topLinePunct w:val="0"/>
              <w:autoSpaceDE/>
              <w:autoSpaceDN w:val="0"/>
              <w:bidi w:val="0"/>
              <w:adjustRightInd/>
              <w:spacing w:line="480" w:lineRule="exact"/>
              <w:jc w:val="left"/>
              <w:textAlignment w:val="center"/>
              <w:rPr>
                <w:rFonts w:hint="eastAsia" w:asciiTheme="minorEastAsia" w:hAnsiTheme="minorEastAsia" w:eastAsiaTheme="minorEastAsia" w:cstheme="minorEastAsia"/>
                <w:color w:val="auto"/>
                <w:sz w:val="20"/>
                <w:szCs w:val="20"/>
                <w:highlight w:val="none"/>
              </w:rPr>
            </w:pPr>
          </w:p>
          <w:p>
            <w:pPr>
              <w:keepNext w:val="0"/>
              <w:keepLines w:val="0"/>
              <w:pageBreakBefore w:val="0"/>
              <w:kinsoku/>
              <w:wordWrap/>
              <w:overflowPunct/>
              <w:topLinePunct w:val="0"/>
              <w:autoSpaceDE/>
              <w:autoSpaceDN w:val="0"/>
              <w:bidi w:val="0"/>
              <w:adjustRightInd/>
              <w:spacing w:line="480" w:lineRule="exact"/>
              <w:ind w:firstLine="200" w:firstLineChars="100"/>
              <w:jc w:val="left"/>
              <w:textAlignment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评价组组长签署意见：</w:t>
            </w:r>
          </w:p>
          <w:p>
            <w:pPr>
              <w:keepNext w:val="0"/>
              <w:keepLines w:val="0"/>
              <w:pageBreakBefore w:val="0"/>
              <w:kinsoku/>
              <w:wordWrap/>
              <w:overflowPunct/>
              <w:topLinePunct w:val="0"/>
              <w:autoSpaceDE/>
              <w:autoSpaceDN w:val="0"/>
              <w:bidi w:val="0"/>
              <w:adjustRightInd/>
              <w:spacing w:line="480" w:lineRule="exact"/>
              <w:jc w:val="left"/>
              <w:textAlignment w:val="center"/>
              <w:rPr>
                <w:rFonts w:hint="eastAsia" w:asciiTheme="minorEastAsia" w:hAnsiTheme="minorEastAsia" w:eastAsiaTheme="minorEastAsia" w:cstheme="minorEastAsia"/>
                <w:color w:val="auto"/>
                <w:sz w:val="20"/>
                <w:szCs w:val="20"/>
                <w:highlight w:val="none"/>
              </w:rPr>
            </w:pPr>
          </w:p>
          <w:p>
            <w:pPr>
              <w:keepNext w:val="0"/>
              <w:keepLines w:val="0"/>
              <w:pageBreakBefore w:val="0"/>
              <w:kinsoku/>
              <w:wordWrap/>
              <w:overflowPunct/>
              <w:topLinePunct w:val="0"/>
              <w:autoSpaceDE/>
              <w:autoSpaceDN w:val="0"/>
              <w:bidi w:val="0"/>
              <w:adjustRightInd/>
              <w:spacing w:line="480" w:lineRule="exact"/>
              <w:jc w:val="left"/>
              <w:textAlignment w:val="center"/>
              <w:rPr>
                <w:rFonts w:hint="eastAsia" w:asciiTheme="minorEastAsia" w:hAnsiTheme="minorEastAsia" w:eastAsiaTheme="minorEastAsia" w:cstheme="minorEastAsia"/>
                <w:color w:val="auto"/>
                <w:sz w:val="20"/>
                <w:szCs w:val="20"/>
                <w:highlight w:val="none"/>
              </w:rPr>
            </w:pPr>
          </w:p>
          <w:p>
            <w:pPr>
              <w:keepNext w:val="0"/>
              <w:keepLines w:val="0"/>
              <w:pageBreakBefore w:val="0"/>
              <w:kinsoku/>
              <w:wordWrap/>
              <w:overflowPunct/>
              <w:topLinePunct w:val="0"/>
              <w:autoSpaceDE/>
              <w:autoSpaceDN w:val="0"/>
              <w:bidi w:val="0"/>
              <w:adjustRightInd/>
              <w:spacing w:line="480" w:lineRule="exact"/>
              <w:ind w:firstLine="4400" w:firstLineChars="2200"/>
              <w:jc w:val="left"/>
              <w:textAlignment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评价组组长（签字）：</w:t>
            </w:r>
          </w:p>
          <w:p>
            <w:pPr>
              <w:keepNext w:val="0"/>
              <w:keepLines w:val="0"/>
              <w:pageBreakBefore w:val="0"/>
              <w:kinsoku/>
              <w:wordWrap/>
              <w:overflowPunct/>
              <w:topLinePunct w:val="0"/>
              <w:autoSpaceDE/>
              <w:autoSpaceDN w:val="0"/>
              <w:bidi w:val="0"/>
              <w:adjustRightInd/>
              <w:spacing w:line="480" w:lineRule="exact"/>
              <w:jc w:val="left"/>
              <w:textAlignment w:val="center"/>
              <w:rPr>
                <w:rFonts w:hint="eastAsia" w:asciiTheme="minorEastAsia" w:hAnsiTheme="minorEastAsia" w:eastAsiaTheme="minorEastAsia" w:cstheme="minorEastAsia"/>
                <w:color w:val="auto"/>
                <w:sz w:val="20"/>
                <w:szCs w:val="20"/>
                <w:highlight w:val="none"/>
              </w:rPr>
            </w:pPr>
          </w:p>
          <w:p>
            <w:pPr>
              <w:keepNext w:val="0"/>
              <w:keepLines w:val="0"/>
              <w:pageBreakBefore w:val="0"/>
              <w:kinsoku/>
              <w:wordWrap/>
              <w:overflowPunct/>
              <w:topLinePunct w:val="0"/>
              <w:autoSpaceDE/>
              <w:autoSpaceDN w:val="0"/>
              <w:bidi w:val="0"/>
              <w:adjustRightInd/>
              <w:spacing w:line="480" w:lineRule="exact"/>
              <w:jc w:val="left"/>
              <w:textAlignment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 xml:space="preserve">                                                 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1890" w:hRule="atLeast"/>
          <w:jc w:val="center"/>
        </w:trPr>
        <w:tc>
          <w:tcPr>
            <w:tcW w:w="9280" w:type="dxa"/>
            <w:gridSpan w:val="15"/>
            <w:vAlign w:val="center"/>
          </w:tcPr>
          <w:p>
            <w:pPr>
              <w:keepNext w:val="0"/>
              <w:keepLines w:val="0"/>
              <w:pageBreakBefore w:val="0"/>
              <w:kinsoku/>
              <w:wordWrap/>
              <w:overflowPunct/>
              <w:topLinePunct w:val="0"/>
              <w:autoSpaceDE/>
              <w:autoSpaceDN w:val="0"/>
              <w:bidi w:val="0"/>
              <w:adjustRightInd/>
              <w:spacing w:line="480" w:lineRule="exact"/>
              <w:ind w:firstLine="200" w:firstLineChars="100"/>
              <w:jc w:val="left"/>
              <w:textAlignment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部门（单位）意见：</w:t>
            </w:r>
          </w:p>
          <w:p>
            <w:pPr>
              <w:keepNext w:val="0"/>
              <w:keepLines w:val="0"/>
              <w:pageBreakBefore w:val="0"/>
              <w:kinsoku/>
              <w:wordWrap/>
              <w:overflowPunct/>
              <w:topLinePunct w:val="0"/>
              <w:autoSpaceDE/>
              <w:autoSpaceDN w:val="0"/>
              <w:bidi w:val="0"/>
              <w:adjustRightInd/>
              <w:spacing w:line="480" w:lineRule="exact"/>
              <w:jc w:val="left"/>
              <w:textAlignment w:val="center"/>
              <w:rPr>
                <w:rFonts w:hint="eastAsia" w:asciiTheme="minorEastAsia" w:hAnsiTheme="minorEastAsia" w:eastAsiaTheme="minorEastAsia" w:cstheme="minorEastAsia"/>
                <w:color w:val="auto"/>
                <w:sz w:val="20"/>
                <w:szCs w:val="20"/>
                <w:highlight w:val="none"/>
              </w:rPr>
            </w:pPr>
          </w:p>
          <w:p>
            <w:pPr>
              <w:keepNext w:val="0"/>
              <w:keepLines w:val="0"/>
              <w:pageBreakBefore w:val="0"/>
              <w:kinsoku/>
              <w:wordWrap/>
              <w:overflowPunct/>
              <w:topLinePunct w:val="0"/>
              <w:autoSpaceDE/>
              <w:autoSpaceDN w:val="0"/>
              <w:bidi w:val="0"/>
              <w:adjustRightInd/>
              <w:spacing w:line="480" w:lineRule="exact"/>
              <w:jc w:val="left"/>
              <w:textAlignment w:val="center"/>
              <w:rPr>
                <w:rFonts w:hint="eastAsia" w:asciiTheme="minorEastAsia" w:hAnsiTheme="minorEastAsia" w:eastAsiaTheme="minorEastAsia" w:cstheme="minorEastAsia"/>
                <w:color w:val="auto"/>
                <w:sz w:val="20"/>
                <w:szCs w:val="20"/>
                <w:highlight w:val="none"/>
              </w:rPr>
            </w:pPr>
          </w:p>
          <w:p>
            <w:pPr>
              <w:keepNext w:val="0"/>
              <w:keepLines w:val="0"/>
              <w:pageBreakBefore w:val="0"/>
              <w:kinsoku/>
              <w:wordWrap/>
              <w:overflowPunct/>
              <w:topLinePunct w:val="0"/>
              <w:autoSpaceDE/>
              <w:autoSpaceDN w:val="0"/>
              <w:bidi w:val="0"/>
              <w:adjustRightInd/>
              <w:spacing w:line="480" w:lineRule="exact"/>
              <w:jc w:val="left"/>
              <w:textAlignment w:val="center"/>
              <w:rPr>
                <w:rFonts w:hint="eastAsia" w:asciiTheme="minorEastAsia" w:hAnsiTheme="minorEastAsia" w:eastAsiaTheme="minorEastAsia" w:cstheme="minorEastAsia"/>
                <w:color w:val="auto"/>
                <w:sz w:val="20"/>
                <w:szCs w:val="20"/>
                <w:highlight w:val="none"/>
              </w:rPr>
            </w:pPr>
          </w:p>
          <w:p>
            <w:pPr>
              <w:keepNext w:val="0"/>
              <w:keepLines w:val="0"/>
              <w:pageBreakBefore w:val="0"/>
              <w:kinsoku/>
              <w:wordWrap/>
              <w:overflowPunct/>
              <w:topLinePunct w:val="0"/>
              <w:autoSpaceDE/>
              <w:autoSpaceDN w:val="0"/>
              <w:bidi w:val="0"/>
              <w:adjustRightInd/>
              <w:spacing w:line="480" w:lineRule="exact"/>
              <w:jc w:val="left"/>
              <w:textAlignment w:val="center"/>
              <w:rPr>
                <w:rFonts w:hint="eastAsia" w:asciiTheme="minorEastAsia" w:hAnsiTheme="minorEastAsia" w:eastAsiaTheme="minorEastAsia" w:cstheme="minorEastAsia"/>
                <w:color w:val="auto"/>
                <w:sz w:val="20"/>
                <w:szCs w:val="20"/>
                <w:highlight w:val="none"/>
              </w:rPr>
            </w:pPr>
          </w:p>
          <w:p>
            <w:pPr>
              <w:keepNext w:val="0"/>
              <w:keepLines w:val="0"/>
              <w:pageBreakBefore w:val="0"/>
              <w:kinsoku/>
              <w:wordWrap/>
              <w:overflowPunct/>
              <w:topLinePunct w:val="0"/>
              <w:autoSpaceDE/>
              <w:autoSpaceDN w:val="0"/>
              <w:bidi w:val="0"/>
              <w:adjustRightInd/>
              <w:spacing w:line="480" w:lineRule="exact"/>
              <w:jc w:val="left"/>
              <w:textAlignment w:val="center"/>
              <w:rPr>
                <w:rFonts w:hint="eastAsia" w:asciiTheme="minorEastAsia" w:hAnsiTheme="minorEastAsia" w:eastAsiaTheme="minorEastAsia" w:cstheme="minorEastAsia"/>
                <w:color w:val="auto"/>
                <w:sz w:val="20"/>
                <w:szCs w:val="20"/>
                <w:highlight w:val="none"/>
              </w:rPr>
            </w:pPr>
          </w:p>
          <w:p>
            <w:pPr>
              <w:keepNext w:val="0"/>
              <w:keepLines w:val="0"/>
              <w:pageBreakBefore w:val="0"/>
              <w:kinsoku/>
              <w:wordWrap/>
              <w:overflowPunct/>
              <w:topLinePunct w:val="0"/>
              <w:autoSpaceDE/>
              <w:autoSpaceDN w:val="0"/>
              <w:bidi w:val="0"/>
              <w:adjustRightInd/>
              <w:spacing w:line="480" w:lineRule="exact"/>
              <w:ind w:firstLine="200" w:firstLineChars="100"/>
              <w:jc w:val="left"/>
              <w:textAlignment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部门（单位）负责人（签字）：             部门（单位）（盖章）：</w:t>
            </w:r>
          </w:p>
          <w:p>
            <w:pPr>
              <w:keepNext w:val="0"/>
              <w:keepLines w:val="0"/>
              <w:pageBreakBefore w:val="0"/>
              <w:kinsoku/>
              <w:wordWrap/>
              <w:overflowPunct/>
              <w:topLinePunct w:val="0"/>
              <w:autoSpaceDE/>
              <w:autoSpaceDN w:val="0"/>
              <w:bidi w:val="0"/>
              <w:adjustRightInd/>
              <w:spacing w:line="480" w:lineRule="exact"/>
              <w:jc w:val="left"/>
              <w:textAlignment w:val="center"/>
              <w:rPr>
                <w:rFonts w:hint="eastAsia" w:asciiTheme="minorEastAsia" w:hAnsiTheme="minorEastAsia" w:eastAsiaTheme="minorEastAsia" w:cstheme="minorEastAsia"/>
                <w:color w:val="auto"/>
                <w:sz w:val="20"/>
                <w:szCs w:val="20"/>
                <w:highlight w:val="none"/>
              </w:rPr>
            </w:pPr>
          </w:p>
          <w:p>
            <w:pPr>
              <w:keepNext w:val="0"/>
              <w:keepLines w:val="0"/>
              <w:pageBreakBefore w:val="0"/>
              <w:kinsoku/>
              <w:wordWrap/>
              <w:overflowPunct/>
              <w:topLinePunct w:val="0"/>
              <w:autoSpaceDE/>
              <w:autoSpaceDN w:val="0"/>
              <w:bidi w:val="0"/>
              <w:adjustRightInd/>
              <w:spacing w:line="480" w:lineRule="exact"/>
              <w:jc w:val="left"/>
              <w:textAlignment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 xml:space="preserve">                                           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2103" w:hRule="atLeast"/>
          <w:jc w:val="center"/>
        </w:trPr>
        <w:tc>
          <w:tcPr>
            <w:tcW w:w="9280" w:type="dxa"/>
            <w:gridSpan w:val="15"/>
            <w:vAlign w:val="center"/>
          </w:tcPr>
          <w:p>
            <w:pPr>
              <w:keepNext w:val="0"/>
              <w:keepLines w:val="0"/>
              <w:pageBreakBefore w:val="0"/>
              <w:kinsoku/>
              <w:wordWrap/>
              <w:overflowPunct/>
              <w:topLinePunct w:val="0"/>
              <w:autoSpaceDE/>
              <w:bidi w:val="0"/>
              <w:adjustRightInd/>
              <w:spacing w:line="480" w:lineRule="exact"/>
              <w:ind w:firstLine="200" w:firstLineChars="100"/>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财政部门归口业务科室意见：</w:t>
            </w:r>
          </w:p>
          <w:p>
            <w:pPr>
              <w:keepNext w:val="0"/>
              <w:keepLines w:val="0"/>
              <w:pageBreakBefore w:val="0"/>
              <w:kinsoku/>
              <w:wordWrap/>
              <w:overflowPunct/>
              <w:topLinePunct w:val="0"/>
              <w:autoSpaceDE/>
              <w:bidi w:val="0"/>
              <w:adjustRightInd/>
              <w:spacing w:line="480" w:lineRule="exact"/>
              <w:rPr>
                <w:rFonts w:hint="eastAsia" w:asciiTheme="minorEastAsia" w:hAnsiTheme="minorEastAsia" w:eastAsiaTheme="minorEastAsia" w:cstheme="minorEastAsia"/>
                <w:color w:val="auto"/>
                <w:sz w:val="20"/>
                <w:szCs w:val="20"/>
                <w:highlight w:val="none"/>
              </w:rPr>
            </w:pPr>
          </w:p>
          <w:p>
            <w:pPr>
              <w:keepNext w:val="0"/>
              <w:keepLines w:val="0"/>
              <w:pageBreakBefore w:val="0"/>
              <w:kinsoku/>
              <w:wordWrap/>
              <w:overflowPunct/>
              <w:topLinePunct w:val="0"/>
              <w:autoSpaceDE/>
              <w:bidi w:val="0"/>
              <w:adjustRightInd/>
              <w:spacing w:line="480" w:lineRule="exact"/>
              <w:rPr>
                <w:rFonts w:hint="eastAsia" w:asciiTheme="minorEastAsia" w:hAnsiTheme="minorEastAsia" w:eastAsiaTheme="minorEastAsia" w:cstheme="minorEastAsia"/>
                <w:color w:val="auto"/>
                <w:sz w:val="20"/>
                <w:szCs w:val="20"/>
                <w:highlight w:val="none"/>
              </w:rPr>
            </w:pPr>
          </w:p>
          <w:p>
            <w:pPr>
              <w:keepNext w:val="0"/>
              <w:keepLines w:val="0"/>
              <w:pageBreakBefore w:val="0"/>
              <w:kinsoku/>
              <w:wordWrap/>
              <w:overflowPunct/>
              <w:topLinePunct w:val="0"/>
              <w:autoSpaceDE/>
              <w:bidi w:val="0"/>
              <w:adjustRightInd/>
              <w:spacing w:line="480" w:lineRule="exact"/>
              <w:rPr>
                <w:rFonts w:hint="eastAsia" w:asciiTheme="minorEastAsia" w:hAnsiTheme="minorEastAsia" w:eastAsiaTheme="minorEastAsia" w:cstheme="minorEastAsia"/>
                <w:color w:val="auto"/>
                <w:sz w:val="20"/>
                <w:szCs w:val="20"/>
                <w:highlight w:val="none"/>
              </w:rPr>
            </w:pPr>
          </w:p>
          <w:p>
            <w:pPr>
              <w:keepNext w:val="0"/>
              <w:keepLines w:val="0"/>
              <w:pageBreakBefore w:val="0"/>
              <w:kinsoku/>
              <w:wordWrap/>
              <w:overflowPunct/>
              <w:topLinePunct w:val="0"/>
              <w:autoSpaceDE/>
              <w:bidi w:val="0"/>
              <w:adjustRightInd/>
              <w:spacing w:line="480" w:lineRule="exact"/>
              <w:rPr>
                <w:rFonts w:hint="eastAsia" w:asciiTheme="minorEastAsia" w:hAnsiTheme="minorEastAsia" w:eastAsiaTheme="minorEastAsia" w:cstheme="minorEastAsia"/>
                <w:color w:val="auto"/>
                <w:sz w:val="20"/>
                <w:szCs w:val="20"/>
                <w:highlight w:val="none"/>
              </w:rPr>
            </w:pPr>
          </w:p>
          <w:p>
            <w:pPr>
              <w:keepNext w:val="0"/>
              <w:keepLines w:val="0"/>
              <w:pageBreakBefore w:val="0"/>
              <w:kinsoku/>
              <w:wordWrap/>
              <w:overflowPunct/>
              <w:topLinePunct w:val="0"/>
              <w:autoSpaceDE/>
              <w:bidi w:val="0"/>
              <w:adjustRightInd/>
              <w:spacing w:line="480" w:lineRule="exact"/>
              <w:rPr>
                <w:rFonts w:hint="eastAsia" w:asciiTheme="minorEastAsia" w:hAnsiTheme="minorEastAsia" w:eastAsiaTheme="minorEastAsia" w:cstheme="minorEastAsia"/>
                <w:color w:val="auto"/>
                <w:sz w:val="20"/>
                <w:szCs w:val="20"/>
                <w:highlight w:val="none"/>
              </w:rPr>
            </w:pPr>
          </w:p>
          <w:p>
            <w:pPr>
              <w:keepNext w:val="0"/>
              <w:keepLines w:val="0"/>
              <w:pageBreakBefore w:val="0"/>
              <w:kinsoku/>
              <w:wordWrap/>
              <w:overflowPunct/>
              <w:topLinePunct w:val="0"/>
              <w:autoSpaceDE/>
              <w:bidi w:val="0"/>
              <w:adjustRightInd/>
              <w:spacing w:line="480" w:lineRule="exact"/>
              <w:rPr>
                <w:rFonts w:hint="eastAsia" w:asciiTheme="minorEastAsia" w:hAnsiTheme="minorEastAsia" w:eastAsiaTheme="minorEastAsia" w:cstheme="minorEastAsia"/>
                <w:color w:val="auto"/>
                <w:sz w:val="20"/>
                <w:szCs w:val="20"/>
                <w:highlight w:val="none"/>
              </w:rPr>
            </w:pPr>
          </w:p>
          <w:p>
            <w:pPr>
              <w:keepNext w:val="0"/>
              <w:keepLines w:val="0"/>
              <w:pageBreakBefore w:val="0"/>
              <w:kinsoku/>
              <w:wordWrap/>
              <w:overflowPunct/>
              <w:topLinePunct w:val="0"/>
              <w:autoSpaceDE/>
              <w:bidi w:val="0"/>
              <w:adjustRightInd/>
              <w:spacing w:line="480" w:lineRule="exact"/>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 xml:space="preserve">  财政部门归口业务科室负责人（签字）：       财政部门归口业务科室（盖章）：</w:t>
            </w:r>
          </w:p>
          <w:p>
            <w:pPr>
              <w:keepNext w:val="0"/>
              <w:keepLines w:val="0"/>
              <w:pageBreakBefore w:val="0"/>
              <w:kinsoku/>
              <w:wordWrap/>
              <w:overflowPunct/>
              <w:topLinePunct w:val="0"/>
              <w:autoSpaceDE/>
              <w:autoSpaceDN w:val="0"/>
              <w:bidi w:val="0"/>
              <w:adjustRightInd/>
              <w:spacing w:line="480" w:lineRule="exact"/>
              <w:jc w:val="left"/>
              <w:textAlignment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 xml:space="preserve">                                                                 </w:t>
            </w:r>
          </w:p>
          <w:p>
            <w:pPr>
              <w:keepNext w:val="0"/>
              <w:keepLines w:val="0"/>
              <w:pageBreakBefore w:val="0"/>
              <w:kinsoku/>
              <w:wordWrap/>
              <w:overflowPunct/>
              <w:topLinePunct w:val="0"/>
              <w:autoSpaceDE/>
              <w:autoSpaceDN w:val="0"/>
              <w:bidi w:val="0"/>
              <w:adjustRightInd/>
              <w:spacing w:line="480" w:lineRule="exact"/>
              <w:ind w:firstLine="6200" w:firstLineChars="3100"/>
              <w:jc w:val="left"/>
              <w:textAlignment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年    月   日</w:t>
            </w:r>
          </w:p>
        </w:tc>
      </w:tr>
    </w:tbl>
    <w:p>
      <w:pPr>
        <w:spacing w:line="600" w:lineRule="exact"/>
        <w:ind w:left="0" w:leftChars="0" w:firstLine="2100" w:firstLineChars="750"/>
        <w:jc w:val="both"/>
        <w:rPr>
          <w:rFonts w:hint="eastAsia" w:eastAsia="黑体"/>
          <w:color w:val="auto"/>
          <w:sz w:val="28"/>
          <w:szCs w:val="28"/>
          <w:highlight w:val="none"/>
        </w:rPr>
      </w:pPr>
    </w:p>
    <w:p>
      <w:pPr>
        <w:spacing w:line="578" w:lineRule="atLeast"/>
        <w:jc w:val="center"/>
        <w:rPr>
          <w:rFonts w:hint="eastAsia" w:ascii="宋体" w:hAnsi="宋体" w:cs="宋体"/>
          <w:b/>
          <w:color w:val="auto"/>
          <w:sz w:val="36"/>
          <w:szCs w:val="36"/>
          <w:highlight w:val="none"/>
        </w:rPr>
      </w:pPr>
    </w:p>
    <w:p>
      <w:pPr>
        <w:spacing w:line="578" w:lineRule="atLeast"/>
        <w:jc w:val="both"/>
        <w:rPr>
          <w:rFonts w:hint="eastAsia" w:ascii="宋体" w:hAnsi="宋体" w:cs="宋体"/>
          <w:b/>
          <w:color w:val="auto"/>
          <w:sz w:val="36"/>
          <w:szCs w:val="36"/>
          <w:highlight w:val="none"/>
        </w:rPr>
      </w:pPr>
    </w:p>
    <w:p>
      <w:pPr>
        <w:spacing w:line="578" w:lineRule="atLeast"/>
        <w:jc w:val="center"/>
        <w:rPr>
          <w:rFonts w:ascii="宋体" w:hAnsi="宋体" w:cs="宋体"/>
          <w:b/>
          <w:color w:val="auto"/>
          <w:sz w:val="36"/>
          <w:szCs w:val="36"/>
          <w:highlight w:val="none"/>
        </w:rPr>
      </w:pPr>
      <w:r>
        <w:rPr>
          <w:rFonts w:hint="eastAsia" w:ascii="宋体" w:hAnsi="宋体" w:cs="宋体"/>
          <w:b/>
          <w:color w:val="auto"/>
          <w:sz w:val="36"/>
          <w:szCs w:val="36"/>
          <w:highlight w:val="none"/>
        </w:rPr>
        <w:t>部门整体支出绩效</w:t>
      </w:r>
      <w:r>
        <w:rPr>
          <w:rFonts w:hint="eastAsia" w:ascii="宋体" w:hAnsi="宋体" w:cs="宋体"/>
          <w:b/>
          <w:color w:val="auto"/>
          <w:sz w:val="36"/>
          <w:szCs w:val="36"/>
          <w:highlight w:val="none"/>
          <w:lang w:val="en-US" w:eastAsia="zh-CN"/>
        </w:rPr>
        <w:t>自</w:t>
      </w:r>
      <w:r>
        <w:rPr>
          <w:rFonts w:hint="eastAsia" w:ascii="宋体" w:hAnsi="宋体" w:cs="宋体"/>
          <w:b/>
          <w:color w:val="auto"/>
          <w:sz w:val="36"/>
          <w:szCs w:val="36"/>
          <w:highlight w:val="none"/>
        </w:rPr>
        <w:t>评报告</w:t>
      </w:r>
    </w:p>
    <w:p>
      <w:pPr>
        <w:spacing w:line="600" w:lineRule="exact"/>
        <w:jc w:val="left"/>
        <w:rPr>
          <w:rFonts w:ascii="宋体" w:hAnsi="宋体" w:cs="宋体"/>
          <w:color w:val="auto"/>
          <w:sz w:val="32"/>
          <w:szCs w:val="32"/>
          <w:highlight w:val="none"/>
        </w:rPr>
      </w:pPr>
    </w:p>
    <w:p>
      <w:pPr>
        <w:spacing w:line="600" w:lineRule="exact"/>
        <w:ind w:firstLine="176" w:firstLineChars="73"/>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一、基本情况</w:t>
      </w:r>
    </w:p>
    <w:p>
      <w:pPr>
        <w:pStyle w:val="14"/>
        <w:keepNext w:val="0"/>
        <w:keepLines w:val="0"/>
        <w:pageBreakBefore w:val="0"/>
        <w:widowControl/>
        <w:kinsoku/>
        <w:wordWrap/>
        <w:overflowPunct/>
        <w:topLinePunct w:val="0"/>
        <w:autoSpaceDE/>
        <w:autoSpaceDN/>
        <w:bidi w:val="0"/>
        <w:adjustRightInd/>
        <w:snapToGrid/>
        <w:spacing w:line="540" w:lineRule="exact"/>
        <w:ind w:firstLine="241" w:firstLineChars="1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（一）</w:t>
      </w:r>
      <w:bookmarkStart w:id="2" w:name="_Hlk40300346"/>
      <w:r>
        <w:rPr>
          <w:rFonts w:hint="eastAsia" w:ascii="宋体" w:hAnsi="宋体" w:eastAsia="宋体" w:cs="宋体"/>
          <w:b/>
          <w:bCs/>
          <w:color w:val="auto"/>
          <w:sz w:val="24"/>
          <w:szCs w:val="24"/>
          <w:highlight w:val="none"/>
        </w:rPr>
        <w:t>单位基本情况</w:t>
      </w:r>
      <w:bookmarkEnd w:id="2"/>
    </w:p>
    <w:p>
      <w:pPr>
        <w:pStyle w:val="14"/>
        <w:keepNext w:val="0"/>
        <w:keepLines w:val="0"/>
        <w:pageBreakBefore w:val="0"/>
        <w:widowControl/>
        <w:kinsoku/>
        <w:wordWrap/>
        <w:overflowPunct/>
        <w:topLinePunct w:val="0"/>
        <w:autoSpaceDE/>
        <w:autoSpaceDN/>
        <w:bidi w:val="0"/>
        <w:adjustRightInd/>
        <w:snapToGrid/>
        <w:spacing w:line="540" w:lineRule="exact"/>
        <w:ind w:firstLine="56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cs="宋体"/>
          <w:b/>
          <w:bCs/>
          <w:color w:val="auto"/>
          <w:sz w:val="24"/>
          <w:szCs w:val="24"/>
          <w:highlight w:val="none"/>
          <w:lang w:eastAsia="zh-CN"/>
        </w:rPr>
        <w:t>.</w:t>
      </w:r>
      <w:r>
        <w:rPr>
          <w:rFonts w:hint="eastAsia" w:ascii="宋体" w:hAnsi="宋体" w:eastAsia="宋体" w:cs="宋体"/>
          <w:b/>
          <w:bCs/>
          <w:color w:val="auto"/>
          <w:sz w:val="24"/>
          <w:szCs w:val="24"/>
          <w:highlight w:val="none"/>
        </w:rPr>
        <w:t>单位基本情况</w:t>
      </w:r>
    </w:p>
    <w:p>
      <w:pPr>
        <w:spacing w:before="183" w:beforeLines="50" w:line="540" w:lineRule="exact"/>
        <w:ind w:firstLine="480" w:firstLineChars="200"/>
        <w:rPr>
          <w:rFonts w:hint="eastAsia" w:ascii="宋体" w:hAnsi="宋体" w:eastAsia="宋体" w:cs="宋体"/>
          <w:bCs/>
          <w:color w:val="auto"/>
          <w:sz w:val="24"/>
          <w:szCs w:val="24"/>
          <w:highlight w:val="none"/>
        </w:rPr>
      </w:pPr>
      <w:bookmarkStart w:id="3" w:name="_Hlk42197695"/>
      <w:bookmarkStart w:id="4" w:name="_Toc2195"/>
      <w:r>
        <w:rPr>
          <w:rFonts w:hint="eastAsia" w:ascii="宋体" w:hAnsi="宋体" w:eastAsia="宋体" w:cs="宋体"/>
          <w:bCs/>
          <w:color w:val="auto"/>
          <w:sz w:val="24"/>
          <w:szCs w:val="24"/>
          <w:highlight w:val="none"/>
        </w:rPr>
        <w:t>州工信局</w:t>
      </w:r>
      <w:bookmarkEnd w:id="3"/>
      <w:r>
        <w:rPr>
          <w:rFonts w:hint="eastAsia" w:ascii="宋体" w:hAnsi="宋体" w:eastAsia="宋体" w:cs="宋体"/>
          <w:bCs/>
          <w:color w:val="auto"/>
          <w:sz w:val="24"/>
          <w:szCs w:val="24"/>
          <w:highlight w:val="none"/>
        </w:rPr>
        <w:t>是湘西土家族苗族自治州人民政府的工业经济主管部门，位于吉首市人民北路58号，单位性质为行政单位，统一社会信用代码为11433100006686154J。2019年12月中共湘西自治州委办公室、湘西自治州人民政府办公室发文州办【2019】101号文件，就湘西土家族苗族自治州</w:t>
      </w:r>
      <w:bookmarkStart w:id="5" w:name="_Hlk74168262"/>
      <w:r>
        <w:rPr>
          <w:rFonts w:hint="eastAsia" w:ascii="宋体" w:hAnsi="宋体" w:eastAsia="宋体" w:cs="宋体"/>
          <w:bCs/>
          <w:color w:val="auto"/>
          <w:sz w:val="24"/>
          <w:szCs w:val="24"/>
          <w:highlight w:val="none"/>
        </w:rPr>
        <w:t>工业和信息化局</w:t>
      </w:r>
      <w:bookmarkEnd w:id="5"/>
      <w:r>
        <w:rPr>
          <w:rFonts w:hint="eastAsia" w:ascii="宋体" w:hAnsi="宋体" w:eastAsia="宋体" w:cs="宋体"/>
          <w:bCs/>
          <w:color w:val="auto"/>
          <w:sz w:val="24"/>
          <w:szCs w:val="24"/>
          <w:highlight w:val="none"/>
        </w:rPr>
        <w:t>职责和机构编制进行了调整。州工信局调整职责情况如下：增加了承担全州军民融合发展综合协调和督导落实、国防科技工业相关职责，贯彻落实国家、省州有关酒类产业发展的政策法规和决策部署出尽全州酒类产业发展，将能源运行相关职责划入州发展和改革委员会；调整职责后的本单位内设办公室、军民融合和综合科、政策法规科、财务资产科、园区和产业集聚科、投资规划科技科、节能与综合利用科、人工智能与信息化产业科、运行监督科、煤炭管理办公室、酒业发展促进科等14个科室。下属独立核算全额拨款事业单位3家:</w:t>
      </w:r>
      <w:r>
        <w:rPr>
          <w:rFonts w:hint="eastAsia" w:ascii="宋体" w:hAnsi="宋体" w:cs="宋体"/>
          <w:bCs/>
          <w:color w:val="auto"/>
          <w:sz w:val="24"/>
          <w:szCs w:val="24"/>
          <w:highlight w:val="none"/>
          <w:lang w:val="en-US" w:eastAsia="zh-CN"/>
        </w:rPr>
        <w:t>分别为</w:t>
      </w:r>
      <w:r>
        <w:rPr>
          <w:rFonts w:hint="eastAsia" w:ascii="宋体" w:hAnsi="宋体" w:cs="宋体"/>
          <w:bCs/>
          <w:color w:val="auto"/>
          <w:sz w:val="24"/>
          <w:szCs w:val="24"/>
          <w:highlight w:val="none"/>
          <w:lang w:eastAsia="zh-CN"/>
        </w:rPr>
        <w:t>（</w:t>
      </w:r>
      <w:r>
        <w:rPr>
          <w:rFonts w:hint="eastAsia" w:ascii="宋体" w:hAnsi="宋体" w:cs="宋体"/>
          <w:bCs/>
          <w:color w:val="auto"/>
          <w:sz w:val="24"/>
          <w:szCs w:val="24"/>
          <w:highlight w:val="none"/>
          <w:lang w:val="en-US" w:eastAsia="zh-CN"/>
        </w:rPr>
        <w:t>1</w:t>
      </w:r>
      <w:r>
        <w:rPr>
          <w:rFonts w:hint="eastAsia" w:ascii="宋体" w:hAnsi="宋体" w:cs="宋体"/>
          <w:bCs/>
          <w:color w:val="auto"/>
          <w:sz w:val="24"/>
          <w:szCs w:val="24"/>
          <w:highlight w:val="none"/>
          <w:lang w:eastAsia="zh-CN"/>
        </w:rPr>
        <w:t>）</w:t>
      </w:r>
      <w:r>
        <w:rPr>
          <w:rFonts w:hint="eastAsia" w:ascii="宋体" w:hAnsi="宋体" w:eastAsia="宋体" w:cs="宋体"/>
          <w:bCs/>
          <w:color w:val="auto"/>
          <w:sz w:val="24"/>
          <w:szCs w:val="24"/>
          <w:highlight w:val="none"/>
        </w:rPr>
        <w:t>州</w:t>
      </w:r>
      <w:r>
        <w:rPr>
          <w:rFonts w:hint="eastAsia" w:ascii="宋体" w:hAnsi="宋体" w:cs="宋体"/>
          <w:bCs/>
          <w:color w:val="auto"/>
          <w:sz w:val="24"/>
          <w:szCs w:val="24"/>
          <w:highlight w:val="none"/>
          <w:lang w:val="en-US" w:eastAsia="zh-CN"/>
        </w:rPr>
        <w:t>中小微</w:t>
      </w:r>
      <w:r>
        <w:rPr>
          <w:rFonts w:hint="eastAsia" w:ascii="宋体" w:hAnsi="宋体" w:eastAsia="宋体" w:cs="宋体"/>
          <w:bCs/>
          <w:color w:val="auto"/>
          <w:sz w:val="24"/>
          <w:szCs w:val="24"/>
          <w:highlight w:val="none"/>
        </w:rPr>
        <w:t>企业服务中心；</w:t>
      </w:r>
      <w:r>
        <w:rPr>
          <w:rFonts w:hint="eastAsia" w:ascii="宋体" w:hAnsi="宋体" w:cs="宋体"/>
          <w:bCs/>
          <w:color w:val="auto"/>
          <w:sz w:val="24"/>
          <w:szCs w:val="24"/>
          <w:highlight w:val="none"/>
          <w:lang w:eastAsia="zh-CN"/>
        </w:rPr>
        <w:t>（</w:t>
      </w:r>
      <w:r>
        <w:rPr>
          <w:rFonts w:hint="eastAsia" w:ascii="宋体" w:hAnsi="宋体" w:cs="宋体"/>
          <w:bCs/>
          <w:color w:val="auto"/>
          <w:sz w:val="24"/>
          <w:szCs w:val="24"/>
          <w:highlight w:val="none"/>
          <w:lang w:val="en-US" w:eastAsia="zh-CN"/>
        </w:rPr>
        <w:t>2</w:t>
      </w:r>
      <w:r>
        <w:rPr>
          <w:rFonts w:hint="eastAsia" w:ascii="宋体" w:hAnsi="宋体" w:cs="宋体"/>
          <w:bCs/>
          <w:color w:val="auto"/>
          <w:sz w:val="24"/>
          <w:szCs w:val="24"/>
          <w:highlight w:val="none"/>
          <w:lang w:eastAsia="zh-CN"/>
        </w:rPr>
        <w:t>）</w:t>
      </w:r>
      <w:r>
        <w:rPr>
          <w:rFonts w:hint="eastAsia" w:ascii="宋体" w:hAnsi="宋体" w:eastAsia="宋体" w:cs="宋体"/>
          <w:bCs/>
          <w:color w:val="auto"/>
          <w:sz w:val="24"/>
          <w:szCs w:val="24"/>
          <w:highlight w:val="none"/>
        </w:rPr>
        <w:t>州散装水泥办公室；</w:t>
      </w:r>
      <w:r>
        <w:rPr>
          <w:rFonts w:hint="eastAsia" w:ascii="宋体" w:hAnsi="宋体" w:cs="宋体"/>
          <w:bCs/>
          <w:color w:val="auto"/>
          <w:sz w:val="24"/>
          <w:szCs w:val="24"/>
          <w:highlight w:val="none"/>
          <w:lang w:eastAsia="zh-CN"/>
        </w:rPr>
        <w:t>（</w:t>
      </w:r>
      <w:r>
        <w:rPr>
          <w:rFonts w:hint="eastAsia" w:ascii="宋体" w:hAnsi="宋体" w:cs="宋体"/>
          <w:bCs/>
          <w:color w:val="auto"/>
          <w:sz w:val="24"/>
          <w:szCs w:val="24"/>
          <w:highlight w:val="none"/>
          <w:lang w:val="en-US" w:eastAsia="zh-CN"/>
        </w:rPr>
        <w:t>3</w:t>
      </w:r>
      <w:r>
        <w:rPr>
          <w:rFonts w:hint="eastAsia" w:ascii="宋体" w:hAnsi="宋体" w:cs="宋体"/>
          <w:bCs/>
          <w:color w:val="auto"/>
          <w:sz w:val="24"/>
          <w:szCs w:val="24"/>
          <w:highlight w:val="none"/>
          <w:lang w:eastAsia="zh-CN"/>
        </w:rPr>
        <w:t>）</w:t>
      </w:r>
      <w:r>
        <w:rPr>
          <w:rFonts w:hint="eastAsia" w:ascii="宋体" w:hAnsi="宋体" w:eastAsia="宋体" w:cs="宋体"/>
          <w:bCs/>
          <w:color w:val="auto"/>
          <w:sz w:val="24"/>
          <w:szCs w:val="24"/>
          <w:highlight w:val="none"/>
        </w:rPr>
        <w:t>州墙体材料改革办公室。</w:t>
      </w:r>
    </w:p>
    <w:p>
      <w:pPr>
        <w:pStyle w:val="14"/>
        <w:widowControl/>
        <w:spacing w:before="183" w:beforeLines="50" w:after="183" w:afterLines="50" w:line="540" w:lineRule="exact"/>
        <w:ind w:firstLine="56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截止202</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年12月31日，州工业和信息化局经州编委核定的编制人数为</w:t>
      </w:r>
      <w:r>
        <w:rPr>
          <w:rFonts w:hint="eastAsia" w:ascii="宋体" w:hAnsi="宋体" w:cs="宋体"/>
          <w:color w:val="auto"/>
          <w:sz w:val="24"/>
          <w:szCs w:val="24"/>
          <w:highlight w:val="none"/>
          <w:lang w:val="en-US" w:eastAsia="zh-CN"/>
        </w:rPr>
        <w:t>91</w:t>
      </w:r>
      <w:r>
        <w:rPr>
          <w:rFonts w:hint="eastAsia" w:ascii="宋体" w:hAnsi="宋体" w:eastAsia="宋体" w:cs="宋体"/>
          <w:color w:val="auto"/>
          <w:sz w:val="24"/>
          <w:szCs w:val="24"/>
          <w:highlight w:val="none"/>
        </w:rPr>
        <w:t>人</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年末实有在职人员87人</w:t>
      </w:r>
      <w:r>
        <w:rPr>
          <w:rFonts w:hint="eastAsia" w:ascii="宋体" w:hAnsi="宋体" w:cs="宋体"/>
          <w:color w:val="auto"/>
          <w:sz w:val="24"/>
          <w:szCs w:val="24"/>
          <w:highlight w:val="none"/>
          <w:lang w:eastAsia="zh-CN"/>
        </w:rPr>
        <w:t>，</w:t>
      </w:r>
      <w:r>
        <w:rPr>
          <w:rFonts w:hint="eastAsia" w:ascii="宋体" w:hAnsi="宋体" w:cs="宋体"/>
          <w:b w:val="0"/>
          <w:bCs w:val="0"/>
          <w:color w:val="auto"/>
          <w:sz w:val="24"/>
          <w:szCs w:val="24"/>
          <w:highlight w:val="none"/>
          <w:lang w:val="en-US" w:eastAsia="zh-CN"/>
        </w:rPr>
        <w:t>其中</w:t>
      </w:r>
      <w:r>
        <w:rPr>
          <w:rFonts w:hint="eastAsia" w:ascii="宋体" w:hAnsi="宋体" w:eastAsia="宋体" w:cs="宋体"/>
          <w:b w:val="0"/>
          <w:bCs w:val="0"/>
          <w:color w:val="auto"/>
          <w:sz w:val="24"/>
          <w:szCs w:val="24"/>
          <w:highlight w:val="none"/>
        </w:rPr>
        <w:t>行政人员26人</w:t>
      </w:r>
      <w:r>
        <w:rPr>
          <w:rFonts w:hint="eastAsia" w:ascii="宋体" w:hAnsi="宋体" w:cs="宋体"/>
          <w:b w:val="0"/>
          <w:bCs w:val="0"/>
          <w:color w:val="auto"/>
          <w:sz w:val="24"/>
          <w:szCs w:val="24"/>
          <w:highlight w:val="none"/>
          <w:lang w:eastAsia="zh-CN"/>
        </w:rPr>
        <w:t>，</w:t>
      </w:r>
      <w:bookmarkStart w:id="6" w:name="_Hlk74572956"/>
      <w:r>
        <w:rPr>
          <w:rFonts w:hint="eastAsia" w:ascii="宋体" w:hAnsi="宋体" w:eastAsia="宋体" w:cs="宋体"/>
          <w:b w:val="0"/>
          <w:bCs w:val="0"/>
          <w:color w:val="auto"/>
          <w:sz w:val="24"/>
          <w:szCs w:val="24"/>
          <w:highlight w:val="none"/>
        </w:rPr>
        <w:t>参照公务员法管理人员</w:t>
      </w:r>
      <w:bookmarkEnd w:id="6"/>
      <w:r>
        <w:rPr>
          <w:rFonts w:hint="eastAsia" w:ascii="宋体" w:hAnsi="宋体" w:cs="宋体"/>
          <w:b w:val="0"/>
          <w:bCs w:val="0"/>
          <w:color w:val="auto"/>
          <w:sz w:val="24"/>
          <w:szCs w:val="24"/>
          <w:highlight w:val="none"/>
          <w:lang w:val="en-US" w:eastAsia="zh-CN"/>
        </w:rPr>
        <w:t>34</w:t>
      </w:r>
      <w:r>
        <w:rPr>
          <w:rFonts w:hint="eastAsia" w:ascii="宋体" w:hAnsi="宋体" w:eastAsia="宋体" w:cs="宋体"/>
          <w:b w:val="0"/>
          <w:bCs w:val="0"/>
          <w:color w:val="auto"/>
          <w:sz w:val="24"/>
          <w:szCs w:val="24"/>
          <w:highlight w:val="none"/>
        </w:rPr>
        <w:t>人、非参公</w:t>
      </w:r>
      <w:r>
        <w:rPr>
          <w:rFonts w:hint="eastAsia" w:ascii="宋体" w:hAnsi="宋体" w:cs="宋体"/>
          <w:b w:val="0"/>
          <w:bCs w:val="0"/>
          <w:color w:val="auto"/>
          <w:sz w:val="24"/>
          <w:szCs w:val="24"/>
          <w:highlight w:val="none"/>
          <w:lang w:val="en-US" w:eastAsia="zh-CN"/>
        </w:rPr>
        <w:t>事业</w:t>
      </w:r>
      <w:r>
        <w:rPr>
          <w:rFonts w:hint="eastAsia" w:ascii="宋体" w:hAnsi="宋体" w:eastAsia="宋体" w:cs="宋体"/>
          <w:b w:val="0"/>
          <w:bCs w:val="0"/>
          <w:color w:val="auto"/>
          <w:sz w:val="24"/>
          <w:szCs w:val="24"/>
          <w:highlight w:val="none"/>
        </w:rPr>
        <w:t>人员</w:t>
      </w:r>
      <w:r>
        <w:rPr>
          <w:rFonts w:hint="eastAsia" w:ascii="宋体" w:hAnsi="宋体" w:cs="宋体"/>
          <w:b w:val="0"/>
          <w:bCs w:val="0"/>
          <w:color w:val="auto"/>
          <w:sz w:val="24"/>
          <w:szCs w:val="24"/>
          <w:highlight w:val="none"/>
          <w:lang w:val="en-US" w:eastAsia="zh-CN"/>
        </w:rPr>
        <w:t>27</w:t>
      </w:r>
      <w:r>
        <w:rPr>
          <w:rFonts w:hint="eastAsia" w:ascii="宋体" w:hAnsi="宋体" w:eastAsia="宋体" w:cs="宋体"/>
          <w:b w:val="0"/>
          <w:bCs w:val="0"/>
          <w:color w:val="auto"/>
          <w:sz w:val="24"/>
          <w:szCs w:val="24"/>
          <w:highlight w:val="none"/>
        </w:rPr>
        <w:t>人</w:t>
      </w:r>
      <w:r>
        <w:rPr>
          <w:rFonts w:hint="eastAsia" w:ascii="宋体" w:hAnsi="宋体" w:eastAsia="宋体" w:cs="宋体"/>
          <w:color w:val="auto"/>
          <w:sz w:val="24"/>
          <w:szCs w:val="24"/>
          <w:highlight w:val="none"/>
        </w:rPr>
        <w:t>。</w:t>
      </w:r>
    </w:p>
    <w:p>
      <w:pPr>
        <w:pStyle w:val="14"/>
        <w:widowControl/>
        <w:spacing w:before="183" w:beforeLines="50" w:after="183" w:afterLines="50" w:line="540" w:lineRule="exact"/>
        <w:ind w:firstLine="560"/>
        <w:rPr>
          <w:rFonts w:hint="eastAsia" w:ascii="宋体" w:hAnsi="宋体" w:eastAsia="宋体" w:cs="宋体"/>
          <w:b/>
          <w:bCs/>
          <w:color w:val="auto"/>
          <w:sz w:val="24"/>
          <w:szCs w:val="24"/>
          <w:highlight w:val="none"/>
        </w:rPr>
      </w:pPr>
      <w:r>
        <w:rPr>
          <w:rFonts w:hint="eastAsia" w:ascii="宋体" w:hAnsi="宋体" w:cs="宋体"/>
          <w:b/>
          <w:bCs/>
          <w:color w:val="auto"/>
          <w:sz w:val="24"/>
          <w:szCs w:val="24"/>
          <w:highlight w:val="none"/>
          <w:lang w:val="en-US" w:eastAsia="zh-CN"/>
        </w:rPr>
        <w:t>2.</w:t>
      </w:r>
      <w:bookmarkEnd w:id="4"/>
      <w:r>
        <w:rPr>
          <w:rFonts w:hint="eastAsia" w:ascii="宋体" w:hAnsi="宋体" w:eastAsia="宋体" w:cs="宋体"/>
          <w:b/>
          <w:bCs/>
          <w:color w:val="auto"/>
          <w:sz w:val="24"/>
          <w:szCs w:val="24"/>
          <w:highlight w:val="none"/>
        </w:rPr>
        <w:t>单位职责</w:t>
      </w:r>
    </w:p>
    <w:p>
      <w:pPr>
        <w:widowControl/>
        <w:numPr>
          <w:ilvl w:val="0"/>
          <w:numId w:val="0"/>
        </w:numPr>
        <w:spacing w:before="183" w:beforeLines="50" w:after="200" w:line="540" w:lineRule="exact"/>
        <w:ind w:left="210" w:leftChars="0"/>
        <w:rPr>
          <w:rFonts w:hint="eastAsia" w:ascii="宋体" w:hAnsi="宋体" w:eastAsia="宋体" w:cs="宋体"/>
          <w:bCs/>
          <w:color w:val="auto"/>
          <w:sz w:val="24"/>
          <w:szCs w:val="24"/>
          <w:highlight w:val="none"/>
        </w:rPr>
      </w:pPr>
      <w:r>
        <w:rPr>
          <w:rFonts w:hint="eastAsia" w:ascii="宋体" w:hAnsi="宋体" w:cs="宋体"/>
          <w:bCs/>
          <w:color w:val="auto"/>
          <w:sz w:val="24"/>
          <w:szCs w:val="24"/>
          <w:highlight w:val="none"/>
          <w:lang w:eastAsia="zh-CN"/>
        </w:rPr>
        <w:t>（</w:t>
      </w:r>
      <w:r>
        <w:rPr>
          <w:rFonts w:hint="eastAsia" w:ascii="宋体" w:hAnsi="宋体" w:cs="宋体"/>
          <w:bCs/>
          <w:color w:val="auto"/>
          <w:sz w:val="24"/>
          <w:szCs w:val="24"/>
          <w:highlight w:val="none"/>
          <w:lang w:val="en-US" w:eastAsia="zh-CN"/>
        </w:rPr>
        <w:t>1</w:t>
      </w:r>
      <w:r>
        <w:rPr>
          <w:rFonts w:hint="eastAsia" w:ascii="宋体" w:hAnsi="宋体" w:cs="宋体"/>
          <w:bCs/>
          <w:color w:val="auto"/>
          <w:sz w:val="24"/>
          <w:szCs w:val="24"/>
          <w:highlight w:val="none"/>
          <w:lang w:eastAsia="zh-CN"/>
        </w:rPr>
        <w:t>）</w:t>
      </w:r>
      <w:r>
        <w:rPr>
          <w:rFonts w:hint="eastAsia" w:ascii="宋体" w:hAnsi="宋体" w:eastAsia="宋体" w:cs="宋体"/>
          <w:bCs/>
          <w:color w:val="auto"/>
          <w:sz w:val="24"/>
          <w:szCs w:val="24"/>
          <w:highlight w:val="none"/>
        </w:rPr>
        <w:t>贯彻落实国家、省和州有关经济和信息化的方针、政策和法律、法规；起草工业和信息化领域的地方性法规、规章草案和政策，并对相关法律法规的执行情况进行监督检查。</w:t>
      </w:r>
    </w:p>
    <w:p>
      <w:pPr>
        <w:widowControl/>
        <w:numPr>
          <w:ilvl w:val="0"/>
          <w:numId w:val="0"/>
        </w:numPr>
        <w:spacing w:before="183" w:beforeLines="50" w:after="200" w:line="540" w:lineRule="exact"/>
        <w:ind w:left="210" w:leftChars="0"/>
        <w:rPr>
          <w:rFonts w:hint="eastAsia" w:ascii="宋体" w:hAnsi="宋体" w:eastAsia="宋体" w:cs="宋体"/>
          <w:bCs/>
          <w:color w:val="auto"/>
          <w:sz w:val="24"/>
          <w:szCs w:val="24"/>
          <w:highlight w:val="none"/>
        </w:rPr>
      </w:pPr>
      <w:r>
        <w:rPr>
          <w:rFonts w:hint="eastAsia" w:ascii="宋体" w:hAnsi="宋体" w:cs="宋体"/>
          <w:bCs/>
          <w:color w:val="auto"/>
          <w:sz w:val="24"/>
          <w:szCs w:val="24"/>
          <w:highlight w:val="none"/>
          <w:lang w:eastAsia="zh-CN"/>
        </w:rPr>
        <w:t>（</w:t>
      </w:r>
      <w:r>
        <w:rPr>
          <w:rFonts w:hint="eastAsia" w:ascii="宋体" w:hAnsi="宋体" w:cs="宋体"/>
          <w:bCs/>
          <w:color w:val="auto"/>
          <w:sz w:val="24"/>
          <w:szCs w:val="24"/>
          <w:highlight w:val="none"/>
          <w:lang w:val="en-US" w:eastAsia="zh-CN"/>
        </w:rPr>
        <w:t>2</w:t>
      </w:r>
      <w:r>
        <w:rPr>
          <w:rFonts w:hint="eastAsia" w:ascii="宋体" w:hAnsi="宋体" w:cs="宋体"/>
          <w:bCs/>
          <w:color w:val="auto"/>
          <w:sz w:val="24"/>
          <w:szCs w:val="24"/>
          <w:highlight w:val="none"/>
          <w:lang w:eastAsia="zh-CN"/>
        </w:rPr>
        <w:t>）</w:t>
      </w:r>
      <w:r>
        <w:rPr>
          <w:rFonts w:hint="eastAsia" w:ascii="宋体" w:hAnsi="宋体" w:eastAsia="宋体" w:cs="宋体"/>
          <w:bCs/>
          <w:color w:val="auto"/>
          <w:sz w:val="24"/>
          <w:szCs w:val="24"/>
          <w:highlight w:val="none"/>
        </w:rPr>
        <w:t>拟定并组织实施工业、信息化的发展专项规划，贯彻落实国家产业政策。研究提出推进产业结构调整、工业与相关产业融合发展及管理创新的政策建议；指导工业和信息化领域加强安全生产、质量管理和应急工作，协调减轻企业负担工作；协同有关部门做好全州维护企业稳定工作。</w:t>
      </w:r>
    </w:p>
    <w:p>
      <w:pPr>
        <w:widowControl/>
        <w:numPr>
          <w:ilvl w:val="0"/>
          <w:numId w:val="0"/>
        </w:numPr>
        <w:spacing w:before="183" w:beforeLines="50" w:after="200" w:line="540" w:lineRule="exact"/>
        <w:ind w:left="210" w:leftChars="0"/>
        <w:rPr>
          <w:rFonts w:hint="eastAsia" w:ascii="宋体" w:hAnsi="宋体" w:eastAsia="宋体" w:cs="宋体"/>
          <w:bCs/>
          <w:color w:val="auto"/>
          <w:sz w:val="24"/>
          <w:szCs w:val="24"/>
          <w:highlight w:val="none"/>
        </w:rPr>
      </w:pPr>
      <w:r>
        <w:rPr>
          <w:rFonts w:hint="eastAsia" w:ascii="宋体" w:hAnsi="宋体" w:cs="宋体"/>
          <w:bCs/>
          <w:color w:val="auto"/>
          <w:sz w:val="24"/>
          <w:szCs w:val="24"/>
          <w:highlight w:val="none"/>
          <w:lang w:eastAsia="zh-CN"/>
        </w:rPr>
        <w:t>（</w:t>
      </w:r>
      <w:r>
        <w:rPr>
          <w:rFonts w:hint="eastAsia" w:ascii="宋体" w:hAnsi="宋体" w:cs="宋体"/>
          <w:bCs/>
          <w:color w:val="auto"/>
          <w:sz w:val="24"/>
          <w:szCs w:val="24"/>
          <w:highlight w:val="none"/>
          <w:lang w:val="en-US" w:eastAsia="zh-CN"/>
        </w:rPr>
        <w:t>3</w:t>
      </w:r>
      <w:r>
        <w:rPr>
          <w:rFonts w:hint="eastAsia" w:ascii="宋体" w:hAnsi="宋体" w:cs="宋体"/>
          <w:bCs/>
          <w:color w:val="auto"/>
          <w:sz w:val="24"/>
          <w:szCs w:val="24"/>
          <w:highlight w:val="none"/>
          <w:lang w:eastAsia="zh-CN"/>
        </w:rPr>
        <w:t>）</w:t>
      </w:r>
      <w:r>
        <w:rPr>
          <w:rFonts w:hint="eastAsia" w:ascii="宋体" w:hAnsi="宋体" w:eastAsia="宋体" w:cs="宋体"/>
          <w:bCs/>
          <w:color w:val="auto"/>
          <w:sz w:val="24"/>
          <w:szCs w:val="24"/>
          <w:highlight w:val="none"/>
        </w:rPr>
        <w:t>负责全州工业和信息化领域的日常经济运行调节，编制并组织实施近期工业和信息化领域的经济运行调控目标、政策和措施；监测分析近期工业信息化领域的经济运行态势，统计并发布相关信息，统筹协调解决经济运行中的突出矛盾和问题，并提出政策建议。</w:t>
      </w:r>
    </w:p>
    <w:p>
      <w:pPr>
        <w:widowControl/>
        <w:numPr>
          <w:ilvl w:val="0"/>
          <w:numId w:val="0"/>
        </w:numPr>
        <w:spacing w:before="183" w:beforeLines="50" w:after="200" w:line="540" w:lineRule="exact"/>
        <w:ind w:left="210" w:leftChars="0"/>
        <w:rPr>
          <w:rFonts w:hint="eastAsia" w:ascii="宋体" w:hAnsi="宋体" w:eastAsia="宋体" w:cs="宋体"/>
          <w:bCs/>
          <w:color w:val="auto"/>
          <w:sz w:val="24"/>
          <w:szCs w:val="24"/>
          <w:highlight w:val="none"/>
        </w:rPr>
      </w:pPr>
      <w:r>
        <w:rPr>
          <w:rFonts w:hint="eastAsia" w:ascii="宋体" w:hAnsi="宋体" w:cs="宋体"/>
          <w:bCs/>
          <w:color w:val="auto"/>
          <w:sz w:val="24"/>
          <w:szCs w:val="24"/>
          <w:highlight w:val="none"/>
          <w:lang w:eastAsia="zh-CN"/>
        </w:rPr>
        <w:t>（</w:t>
      </w:r>
      <w:r>
        <w:rPr>
          <w:rFonts w:hint="eastAsia" w:ascii="宋体" w:hAnsi="宋体" w:cs="宋体"/>
          <w:bCs/>
          <w:color w:val="auto"/>
          <w:sz w:val="24"/>
          <w:szCs w:val="24"/>
          <w:highlight w:val="none"/>
          <w:lang w:val="en-US" w:eastAsia="zh-CN"/>
        </w:rPr>
        <w:t>4</w:t>
      </w:r>
      <w:r>
        <w:rPr>
          <w:rFonts w:hint="eastAsia" w:ascii="宋体" w:hAnsi="宋体" w:cs="宋体"/>
          <w:bCs/>
          <w:color w:val="auto"/>
          <w:sz w:val="24"/>
          <w:szCs w:val="24"/>
          <w:highlight w:val="none"/>
          <w:lang w:eastAsia="zh-CN"/>
        </w:rPr>
        <w:t>）</w:t>
      </w:r>
      <w:r>
        <w:rPr>
          <w:rFonts w:hint="eastAsia" w:ascii="宋体" w:hAnsi="宋体" w:eastAsia="宋体" w:cs="宋体"/>
          <w:bCs/>
          <w:color w:val="auto"/>
          <w:sz w:val="24"/>
          <w:szCs w:val="24"/>
          <w:highlight w:val="none"/>
        </w:rPr>
        <w:t>拟定全州新型工业化的发展战略，协调解决有关重大问题；推进信息化和工业化融合，推进高新技术与传统工业改造结合；推进全州国民经济和社会信号化。</w:t>
      </w:r>
    </w:p>
    <w:p>
      <w:pPr>
        <w:widowControl/>
        <w:numPr>
          <w:ilvl w:val="0"/>
          <w:numId w:val="0"/>
        </w:numPr>
        <w:spacing w:before="183" w:beforeLines="50" w:after="200" w:line="540" w:lineRule="exact"/>
        <w:ind w:left="210" w:leftChars="0"/>
        <w:rPr>
          <w:rFonts w:hint="eastAsia" w:ascii="宋体" w:hAnsi="宋体" w:eastAsia="宋体" w:cs="宋体"/>
          <w:bCs/>
          <w:color w:val="auto"/>
          <w:sz w:val="24"/>
          <w:szCs w:val="24"/>
          <w:highlight w:val="none"/>
        </w:rPr>
      </w:pPr>
      <w:r>
        <w:rPr>
          <w:rFonts w:hint="eastAsia" w:ascii="宋体" w:hAnsi="宋体" w:cs="宋体"/>
          <w:bCs/>
          <w:color w:val="auto"/>
          <w:sz w:val="24"/>
          <w:szCs w:val="24"/>
          <w:highlight w:val="none"/>
          <w:lang w:eastAsia="zh-CN"/>
        </w:rPr>
        <w:t>（</w:t>
      </w:r>
      <w:r>
        <w:rPr>
          <w:rFonts w:hint="eastAsia" w:ascii="宋体" w:hAnsi="宋体" w:cs="宋体"/>
          <w:bCs/>
          <w:color w:val="auto"/>
          <w:sz w:val="24"/>
          <w:szCs w:val="24"/>
          <w:highlight w:val="none"/>
          <w:lang w:val="en-US" w:eastAsia="zh-CN"/>
        </w:rPr>
        <w:t>5</w:t>
      </w:r>
      <w:r>
        <w:rPr>
          <w:rFonts w:hint="eastAsia" w:ascii="宋体" w:hAnsi="宋体" w:cs="宋体"/>
          <w:bCs/>
          <w:color w:val="auto"/>
          <w:sz w:val="24"/>
          <w:szCs w:val="24"/>
          <w:highlight w:val="none"/>
          <w:lang w:eastAsia="zh-CN"/>
        </w:rPr>
        <w:t>）</w:t>
      </w:r>
      <w:r>
        <w:rPr>
          <w:rFonts w:hint="eastAsia" w:ascii="宋体" w:hAnsi="宋体" w:eastAsia="宋体" w:cs="宋体"/>
          <w:bCs/>
          <w:color w:val="auto"/>
          <w:sz w:val="24"/>
          <w:szCs w:val="24"/>
          <w:highlight w:val="none"/>
        </w:rPr>
        <w:t>负责工业和信息化领域的国防动员有关工作；指导工业和信息化领域技术进步、技术创新；推进工业行业体制改革和管理创新，推进产学研结合和科研成果产业化；编制和组织实施技术改造规划，提出工业和信息化固定资产投资规模和方向。</w:t>
      </w:r>
    </w:p>
    <w:p>
      <w:pPr>
        <w:widowControl/>
        <w:numPr>
          <w:ilvl w:val="0"/>
          <w:numId w:val="0"/>
        </w:numPr>
        <w:spacing w:before="183" w:beforeLines="50" w:after="200" w:line="540" w:lineRule="exact"/>
        <w:ind w:left="210" w:leftChars="0"/>
        <w:rPr>
          <w:rFonts w:hint="eastAsia" w:ascii="宋体" w:hAnsi="宋体" w:eastAsia="宋体" w:cs="宋体"/>
          <w:bCs/>
          <w:color w:val="auto"/>
          <w:sz w:val="24"/>
          <w:szCs w:val="24"/>
          <w:highlight w:val="none"/>
        </w:rPr>
      </w:pPr>
      <w:r>
        <w:rPr>
          <w:rFonts w:hint="eastAsia" w:ascii="宋体" w:hAnsi="宋体" w:cs="宋体"/>
          <w:bCs/>
          <w:color w:val="auto"/>
          <w:sz w:val="24"/>
          <w:szCs w:val="24"/>
          <w:highlight w:val="none"/>
          <w:lang w:eastAsia="zh-CN"/>
        </w:rPr>
        <w:t>（</w:t>
      </w:r>
      <w:r>
        <w:rPr>
          <w:rFonts w:hint="eastAsia" w:ascii="宋体" w:hAnsi="宋体" w:cs="宋体"/>
          <w:bCs/>
          <w:color w:val="auto"/>
          <w:sz w:val="24"/>
          <w:szCs w:val="24"/>
          <w:highlight w:val="none"/>
          <w:lang w:val="en-US" w:eastAsia="zh-CN"/>
        </w:rPr>
        <w:t>6</w:t>
      </w:r>
      <w:r>
        <w:rPr>
          <w:rFonts w:hint="eastAsia" w:ascii="宋体" w:hAnsi="宋体" w:cs="宋体"/>
          <w:bCs/>
          <w:color w:val="auto"/>
          <w:sz w:val="24"/>
          <w:szCs w:val="24"/>
          <w:highlight w:val="none"/>
          <w:lang w:eastAsia="zh-CN"/>
        </w:rPr>
        <w:t>）</w:t>
      </w:r>
      <w:r>
        <w:rPr>
          <w:rFonts w:hint="eastAsia" w:ascii="宋体" w:hAnsi="宋体" w:eastAsia="宋体" w:cs="宋体"/>
          <w:bCs/>
          <w:color w:val="auto"/>
          <w:sz w:val="24"/>
          <w:szCs w:val="24"/>
          <w:highlight w:val="none"/>
        </w:rPr>
        <w:t>负责中小企业和非公有制经济发展的宏观指导；制定全州中小企业和非公有制经济中长期发展规划并组织实施；推进中小企业服务体系建设和全民创业；综合协调有关部门拟定促进中小企业和非公有制经济发展的改革措施，协调解决有关重大问题。</w:t>
      </w:r>
    </w:p>
    <w:p>
      <w:pPr>
        <w:widowControl/>
        <w:numPr>
          <w:ilvl w:val="0"/>
          <w:numId w:val="0"/>
        </w:numPr>
        <w:spacing w:before="183" w:beforeLines="50" w:after="200" w:line="540" w:lineRule="exact"/>
        <w:ind w:left="210" w:leftChars="0"/>
        <w:rPr>
          <w:rFonts w:hint="eastAsia" w:ascii="宋体" w:hAnsi="宋体" w:eastAsia="宋体" w:cs="宋体"/>
          <w:bCs/>
          <w:color w:val="auto"/>
          <w:sz w:val="24"/>
          <w:szCs w:val="24"/>
          <w:highlight w:val="none"/>
          <w:lang w:eastAsia="zh-CN"/>
        </w:rPr>
      </w:pPr>
      <w:r>
        <w:rPr>
          <w:rFonts w:hint="eastAsia" w:ascii="宋体" w:hAnsi="宋体" w:cs="宋体"/>
          <w:bCs/>
          <w:color w:val="auto"/>
          <w:sz w:val="24"/>
          <w:szCs w:val="24"/>
          <w:highlight w:val="none"/>
          <w:lang w:eastAsia="zh-CN"/>
        </w:rPr>
        <w:t>（</w:t>
      </w:r>
      <w:r>
        <w:rPr>
          <w:rFonts w:hint="eastAsia" w:ascii="宋体" w:hAnsi="宋体" w:cs="宋体"/>
          <w:bCs/>
          <w:color w:val="auto"/>
          <w:sz w:val="24"/>
          <w:szCs w:val="24"/>
          <w:highlight w:val="none"/>
          <w:lang w:val="en-US" w:eastAsia="zh-CN"/>
        </w:rPr>
        <w:t>7</w:t>
      </w:r>
      <w:r>
        <w:rPr>
          <w:rFonts w:hint="eastAsia" w:ascii="宋体" w:hAnsi="宋体" w:cs="宋体"/>
          <w:bCs/>
          <w:color w:val="auto"/>
          <w:sz w:val="24"/>
          <w:szCs w:val="24"/>
          <w:highlight w:val="none"/>
          <w:lang w:eastAsia="zh-CN"/>
        </w:rPr>
        <w:t>）承担工业企业的节能考核和监察工作；组织推进清洁生产工作；组织协调相关重大示范工程和相关新产品、新设备、新材料的推广应用。</w:t>
      </w:r>
    </w:p>
    <w:p>
      <w:pPr>
        <w:widowControl/>
        <w:numPr>
          <w:ilvl w:val="0"/>
          <w:numId w:val="0"/>
        </w:numPr>
        <w:spacing w:before="183" w:beforeLines="50" w:after="200" w:line="540" w:lineRule="exact"/>
        <w:ind w:left="210" w:leftChars="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lang w:eastAsia="zh-CN"/>
        </w:rPr>
        <w:t>（</w:t>
      </w:r>
      <w:r>
        <w:rPr>
          <w:rFonts w:hint="eastAsia" w:asciiTheme="minorEastAsia" w:hAnsiTheme="minorEastAsia" w:eastAsiaTheme="minorEastAsia" w:cstheme="minorEastAsia"/>
          <w:bCs/>
          <w:color w:val="auto"/>
          <w:sz w:val="24"/>
          <w:szCs w:val="24"/>
          <w:highlight w:val="none"/>
          <w:lang w:val="en-US" w:eastAsia="zh-CN"/>
        </w:rPr>
        <w:t>8</w:t>
      </w:r>
      <w:r>
        <w:rPr>
          <w:rFonts w:hint="eastAsia" w:asciiTheme="minorEastAsia" w:hAnsiTheme="minorEastAsia" w:eastAsiaTheme="minorEastAsia" w:cstheme="minorEastAsia"/>
          <w:bCs/>
          <w:color w:val="auto"/>
          <w:sz w:val="24"/>
          <w:szCs w:val="24"/>
          <w:highlight w:val="none"/>
          <w:lang w:eastAsia="zh-CN"/>
        </w:rPr>
        <w:t>）</w:t>
      </w:r>
      <w:r>
        <w:rPr>
          <w:rFonts w:hint="eastAsia" w:asciiTheme="minorEastAsia" w:hAnsiTheme="minorEastAsia" w:eastAsiaTheme="minorEastAsia" w:cstheme="minorEastAsia"/>
          <w:bCs/>
          <w:color w:val="auto"/>
          <w:sz w:val="24"/>
          <w:szCs w:val="24"/>
          <w:highlight w:val="none"/>
        </w:rPr>
        <w:t>负责煤炭、电力、石油、天然气和原材料等经济运行保障要素的工业经济运行；指导生产企业物流外包，促进企业内部物流社会化。</w:t>
      </w:r>
    </w:p>
    <w:p>
      <w:pPr>
        <w:widowControl/>
        <w:numPr>
          <w:ilvl w:val="0"/>
          <w:numId w:val="0"/>
        </w:numPr>
        <w:spacing w:before="183" w:beforeLines="50" w:after="200" w:line="540" w:lineRule="exact"/>
        <w:ind w:left="210" w:leftChars="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lang w:eastAsia="zh-CN"/>
        </w:rPr>
        <w:t>（</w:t>
      </w:r>
      <w:r>
        <w:rPr>
          <w:rFonts w:hint="eastAsia" w:asciiTheme="minorEastAsia" w:hAnsiTheme="minorEastAsia" w:eastAsiaTheme="minorEastAsia" w:cstheme="minorEastAsia"/>
          <w:bCs/>
          <w:color w:val="auto"/>
          <w:sz w:val="24"/>
          <w:szCs w:val="24"/>
          <w:highlight w:val="none"/>
          <w:lang w:val="en-US" w:eastAsia="zh-CN"/>
        </w:rPr>
        <w:t>9</w:t>
      </w:r>
      <w:r>
        <w:rPr>
          <w:rFonts w:hint="eastAsia" w:asciiTheme="minorEastAsia" w:hAnsiTheme="minorEastAsia" w:eastAsiaTheme="minorEastAsia" w:cstheme="minorEastAsia"/>
          <w:bCs/>
          <w:color w:val="auto"/>
          <w:sz w:val="24"/>
          <w:szCs w:val="24"/>
          <w:highlight w:val="none"/>
          <w:lang w:eastAsia="zh-CN"/>
        </w:rPr>
        <w:t>）</w:t>
      </w:r>
      <w:r>
        <w:rPr>
          <w:rFonts w:hint="eastAsia" w:asciiTheme="minorEastAsia" w:hAnsiTheme="minorEastAsia" w:eastAsiaTheme="minorEastAsia" w:cstheme="minorEastAsia"/>
          <w:bCs/>
          <w:color w:val="auto"/>
          <w:sz w:val="24"/>
          <w:szCs w:val="24"/>
          <w:highlight w:val="none"/>
        </w:rPr>
        <w:t>统筹推进经济和社会领域信息化工作；指导协调电子政务发展；推进全州信息化建设；</w:t>
      </w:r>
    </w:p>
    <w:p>
      <w:pPr>
        <w:widowControl/>
        <w:numPr>
          <w:ilvl w:val="0"/>
          <w:numId w:val="0"/>
        </w:numPr>
        <w:spacing w:before="183" w:beforeLines="50" w:after="200" w:line="540" w:lineRule="exact"/>
        <w:ind w:left="210" w:leftChars="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lang w:eastAsia="zh-CN"/>
        </w:rPr>
        <w:t>（</w:t>
      </w:r>
      <w:r>
        <w:rPr>
          <w:rFonts w:hint="eastAsia" w:asciiTheme="minorEastAsia" w:hAnsiTheme="minorEastAsia" w:eastAsiaTheme="minorEastAsia" w:cstheme="minorEastAsia"/>
          <w:bCs/>
          <w:color w:val="auto"/>
          <w:sz w:val="24"/>
          <w:szCs w:val="24"/>
          <w:highlight w:val="none"/>
          <w:lang w:val="en-US" w:eastAsia="zh-CN"/>
        </w:rPr>
        <w:t>10</w:t>
      </w:r>
      <w:r>
        <w:rPr>
          <w:rFonts w:hint="eastAsia" w:asciiTheme="minorEastAsia" w:hAnsiTheme="minorEastAsia" w:eastAsiaTheme="minorEastAsia" w:cstheme="minorEastAsia"/>
          <w:bCs/>
          <w:color w:val="auto"/>
          <w:sz w:val="24"/>
          <w:szCs w:val="24"/>
          <w:highlight w:val="none"/>
          <w:lang w:eastAsia="zh-CN"/>
        </w:rPr>
        <w:t>）</w:t>
      </w:r>
      <w:r>
        <w:rPr>
          <w:rFonts w:hint="eastAsia" w:asciiTheme="minorEastAsia" w:hAnsiTheme="minorEastAsia" w:eastAsiaTheme="minorEastAsia" w:cstheme="minorEastAsia"/>
          <w:bCs/>
          <w:color w:val="auto"/>
          <w:sz w:val="24"/>
          <w:szCs w:val="24"/>
          <w:highlight w:val="none"/>
        </w:rPr>
        <w:t>协调全州工用通信网、互联网、广播电视网和其他专用通信网的规划和建设，促进网络资源共享。拟定全州信息安全发展战略、规划，指导、协调信息安全保障体系建设；指导监督有关部门重要信息系统与基础信息网络的安全保障工作；协助处理网络与信息安全的重大事件。</w:t>
      </w:r>
    </w:p>
    <w:p>
      <w:pPr>
        <w:widowControl/>
        <w:numPr>
          <w:ilvl w:val="0"/>
          <w:numId w:val="0"/>
        </w:numPr>
        <w:spacing w:before="183" w:beforeLines="50" w:after="200" w:line="540" w:lineRule="exact"/>
        <w:ind w:left="210" w:leftChars="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lang w:eastAsia="zh-CN"/>
        </w:rPr>
        <w:t>（</w:t>
      </w:r>
      <w:r>
        <w:rPr>
          <w:rFonts w:hint="eastAsia" w:asciiTheme="minorEastAsia" w:hAnsiTheme="minorEastAsia" w:eastAsiaTheme="minorEastAsia" w:cstheme="minorEastAsia"/>
          <w:bCs/>
          <w:color w:val="auto"/>
          <w:sz w:val="24"/>
          <w:szCs w:val="24"/>
          <w:highlight w:val="none"/>
          <w:lang w:val="en-US" w:eastAsia="zh-CN"/>
        </w:rPr>
        <w:t>11</w:t>
      </w:r>
      <w:r>
        <w:rPr>
          <w:rFonts w:hint="eastAsia" w:asciiTheme="minorEastAsia" w:hAnsiTheme="minorEastAsia" w:eastAsiaTheme="minorEastAsia" w:cstheme="minorEastAsia"/>
          <w:bCs/>
          <w:color w:val="auto"/>
          <w:sz w:val="24"/>
          <w:szCs w:val="24"/>
          <w:highlight w:val="none"/>
          <w:lang w:eastAsia="zh-CN"/>
        </w:rPr>
        <w:t>）</w:t>
      </w:r>
      <w:r>
        <w:rPr>
          <w:rFonts w:hint="eastAsia" w:asciiTheme="minorEastAsia" w:hAnsiTheme="minorEastAsia" w:eastAsiaTheme="minorEastAsia" w:cstheme="minorEastAsia"/>
          <w:bCs/>
          <w:color w:val="auto"/>
          <w:sz w:val="24"/>
          <w:szCs w:val="24"/>
          <w:highlight w:val="none"/>
        </w:rPr>
        <w:t>负责推动软件业和信息服务业的发展，协调解决重大问题；推动软件公共服务体系建设；依法监督管理信息服务市场。</w:t>
      </w:r>
    </w:p>
    <w:p>
      <w:pPr>
        <w:widowControl/>
        <w:numPr>
          <w:ilvl w:val="0"/>
          <w:numId w:val="0"/>
        </w:numPr>
        <w:spacing w:before="183" w:beforeLines="50" w:after="200" w:line="540" w:lineRule="exact"/>
        <w:ind w:left="210" w:leftChars="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lang w:eastAsia="zh-CN"/>
        </w:rPr>
        <w:t>（</w:t>
      </w:r>
      <w:r>
        <w:rPr>
          <w:rFonts w:hint="eastAsia" w:asciiTheme="minorEastAsia" w:hAnsiTheme="minorEastAsia" w:eastAsiaTheme="minorEastAsia" w:cstheme="minorEastAsia"/>
          <w:bCs/>
          <w:color w:val="auto"/>
          <w:sz w:val="24"/>
          <w:szCs w:val="24"/>
          <w:highlight w:val="none"/>
          <w:lang w:val="en-US" w:eastAsia="zh-CN"/>
        </w:rPr>
        <w:t>12</w:t>
      </w:r>
      <w:r>
        <w:rPr>
          <w:rFonts w:hint="eastAsia" w:asciiTheme="minorEastAsia" w:hAnsiTheme="minorEastAsia" w:eastAsiaTheme="minorEastAsia" w:cstheme="minorEastAsia"/>
          <w:bCs/>
          <w:color w:val="auto"/>
          <w:sz w:val="24"/>
          <w:szCs w:val="24"/>
          <w:highlight w:val="none"/>
          <w:lang w:eastAsia="zh-CN"/>
        </w:rPr>
        <w:t>）</w:t>
      </w:r>
      <w:r>
        <w:rPr>
          <w:rFonts w:hint="eastAsia" w:asciiTheme="minorEastAsia" w:hAnsiTheme="minorEastAsia" w:eastAsiaTheme="minorEastAsia" w:cstheme="minorEastAsia"/>
          <w:bCs/>
          <w:color w:val="auto"/>
          <w:sz w:val="24"/>
          <w:szCs w:val="24"/>
          <w:highlight w:val="none"/>
        </w:rPr>
        <w:t>承担全州装备科研生产重大事项；推进重大技术装备国产化；指导引进重大技术装备的消化创新。</w:t>
      </w:r>
    </w:p>
    <w:p>
      <w:pPr>
        <w:widowControl/>
        <w:numPr>
          <w:ilvl w:val="0"/>
          <w:numId w:val="0"/>
        </w:numPr>
        <w:spacing w:before="183" w:beforeLines="50" w:after="200" w:line="540" w:lineRule="exact"/>
        <w:ind w:left="210" w:leftChars="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lang w:eastAsia="zh-CN"/>
        </w:rPr>
        <w:t>（</w:t>
      </w:r>
      <w:r>
        <w:rPr>
          <w:rFonts w:hint="eastAsia" w:asciiTheme="minorEastAsia" w:hAnsiTheme="minorEastAsia" w:eastAsiaTheme="minorEastAsia" w:cstheme="minorEastAsia"/>
          <w:bCs/>
          <w:color w:val="auto"/>
          <w:sz w:val="24"/>
          <w:szCs w:val="24"/>
          <w:highlight w:val="none"/>
          <w:lang w:val="en-US" w:eastAsia="zh-CN"/>
        </w:rPr>
        <w:t>13</w:t>
      </w:r>
      <w:r>
        <w:rPr>
          <w:rFonts w:hint="eastAsia" w:asciiTheme="minorEastAsia" w:hAnsiTheme="minorEastAsia" w:eastAsiaTheme="minorEastAsia" w:cstheme="minorEastAsia"/>
          <w:bCs/>
          <w:color w:val="auto"/>
          <w:sz w:val="24"/>
          <w:szCs w:val="24"/>
          <w:highlight w:val="none"/>
          <w:lang w:eastAsia="zh-CN"/>
        </w:rPr>
        <w:t>）</w:t>
      </w:r>
      <w:r>
        <w:rPr>
          <w:rFonts w:hint="eastAsia" w:asciiTheme="minorEastAsia" w:hAnsiTheme="minorEastAsia" w:eastAsiaTheme="minorEastAsia" w:cstheme="minorEastAsia"/>
          <w:bCs/>
          <w:color w:val="auto"/>
          <w:sz w:val="24"/>
          <w:szCs w:val="24"/>
          <w:highlight w:val="none"/>
        </w:rPr>
        <w:t>承担全州民爆物品安全生产许可和销售许可的监督管理。</w:t>
      </w:r>
    </w:p>
    <w:p>
      <w:pPr>
        <w:widowControl/>
        <w:numPr>
          <w:ilvl w:val="0"/>
          <w:numId w:val="0"/>
        </w:numPr>
        <w:spacing w:before="183" w:beforeLines="50" w:after="200" w:line="540" w:lineRule="exact"/>
        <w:ind w:left="210" w:leftChars="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lang w:eastAsia="zh-CN"/>
        </w:rPr>
        <w:t>（</w:t>
      </w:r>
      <w:r>
        <w:rPr>
          <w:rFonts w:hint="eastAsia" w:asciiTheme="minorEastAsia" w:hAnsiTheme="minorEastAsia" w:eastAsiaTheme="minorEastAsia" w:cstheme="minorEastAsia"/>
          <w:bCs/>
          <w:color w:val="auto"/>
          <w:sz w:val="24"/>
          <w:szCs w:val="24"/>
          <w:highlight w:val="none"/>
          <w:lang w:val="en-US" w:eastAsia="zh-CN"/>
        </w:rPr>
        <w:t>14</w:t>
      </w:r>
      <w:r>
        <w:rPr>
          <w:rFonts w:hint="eastAsia" w:asciiTheme="minorEastAsia" w:hAnsiTheme="minorEastAsia" w:eastAsiaTheme="minorEastAsia" w:cstheme="minorEastAsia"/>
          <w:bCs/>
          <w:color w:val="auto"/>
          <w:sz w:val="24"/>
          <w:szCs w:val="24"/>
          <w:highlight w:val="none"/>
          <w:lang w:eastAsia="zh-CN"/>
        </w:rPr>
        <w:t>）</w:t>
      </w:r>
      <w:r>
        <w:rPr>
          <w:rFonts w:hint="eastAsia" w:asciiTheme="minorEastAsia" w:hAnsiTheme="minorEastAsia" w:eastAsiaTheme="minorEastAsia" w:cstheme="minorEastAsia"/>
          <w:bCs/>
          <w:color w:val="auto"/>
          <w:sz w:val="24"/>
          <w:szCs w:val="24"/>
          <w:highlight w:val="none"/>
        </w:rPr>
        <w:t>负责全州产业园区建设协调服务工作，拟定并组织实施园区发展规划和政策措施，指导园区产业合理布局，负责推进重点产业园区建设发展，推进园区公共设施建设，组织实施产业园区公共服务平台建设。</w:t>
      </w:r>
    </w:p>
    <w:p>
      <w:pPr>
        <w:widowControl/>
        <w:numPr>
          <w:ilvl w:val="0"/>
          <w:numId w:val="0"/>
        </w:numPr>
        <w:spacing w:before="183" w:beforeLines="50" w:after="200" w:line="540" w:lineRule="exact"/>
        <w:ind w:left="210" w:leftChars="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lang w:eastAsia="zh-CN"/>
        </w:rPr>
        <w:t>（</w:t>
      </w:r>
      <w:r>
        <w:rPr>
          <w:rFonts w:hint="eastAsia" w:asciiTheme="minorEastAsia" w:hAnsiTheme="minorEastAsia" w:eastAsiaTheme="minorEastAsia" w:cstheme="minorEastAsia"/>
          <w:bCs/>
          <w:color w:val="auto"/>
          <w:sz w:val="24"/>
          <w:szCs w:val="24"/>
          <w:highlight w:val="none"/>
          <w:lang w:val="en-US" w:eastAsia="zh-CN"/>
        </w:rPr>
        <w:t>15</w:t>
      </w:r>
      <w:r>
        <w:rPr>
          <w:rFonts w:hint="eastAsia" w:asciiTheme="minorEastAsia" w:hAnsiTheme="minorEastAsia" w:eastAsiaTheme="minorEastAsia" w:cstheme="minorEastAsia"/>
          <w:bCs/>
          <w:color w:val="auto"/>
          <w:sz w:val="24"/>
          <w:szCs w:val="24"/>
          <w:highlight w:val="none"/>
          <w:lang w:eastAsia="zh-CN"/>
        </w:rPr>
        <w:t>）</w:t>
      </w:r>
      <w:r>
        <w:rPr>
          <w:rFonts w:hint="eastAsia" w:asciiTheme="minorEastAsia" w:hAnsiTheme="minorEastAsia" w:eastAsiaTheme="minorEastAsia" w:cstheme="minorEastAsia"/>
          <w:bCs/>
          <w:color w:val="auto"/>
          <w:sz w:val="24"/>
          <w:szCs w:val="24"/>
          <w:highlight w:val="none"/>
        </w:rPr>
        <w:t>负责工业和信息化招商项目的规划、开发、包装、发布、联络、洽谈工作，承担州本级工业和信息化招商引资工作；指导园区承接产业转移、开展产业工作。</w:t>
      </w:r>
    </w:p>
    <w:p>
      <w:pPr>
        <w:widowControl/>
        <w:numPr>
          <w:ilvl w:val="0"/>
          <w:numId w:val="0"/>
        </w:numPr>
        <w:spacing w:before="183" w:beforeLines="50" w:after="200" w:line="540" w:lineRule="exact"/>
        <w:ind w:left="210" w:leftChars="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lang w:eastAsia="zh-CN"/>
        </w:rPr>
        <w:t>（</w:t>
      </w:r>
      <w:r>
        <w:rPr>
          <w:rFonts w:hint="eastAsia" w:asciiTheme="minorEastAsia" w:hAnsiTheme="minorEastAsia" w:eastAsiaTheme="minorEastAsia" w:cstheme="minorEastAsia"/>
          <w:bCs/>
          <w:color w:val="auto"/>
          <w:sz w:val="24"/>
          <w:szCs w:val="24"/>
          <w:highlight w:val="none"/>
          <w:lang w:val="en-US" w:eastAsia="zh-CN"/>
        </w:rPr>
        <w:t>16</w:t>
      </w:r>
      <w:r>
        <w:rPr>
          <w:rFonts w:hint="eastAsia" w:asciiTheme="minorEastAsia" w:hAnsiTheme="minorEastAsia" w:eastAsiaTheme="minorEastAsia" w:cstheme="minorEastAsia"/>
          <w:bCs/>
          <w:color w:val="auto"/>
          <w:sz w:val="24"/>
          <w:szCs w:val="24"/>
          <w:highlight w:val="none"/>
          <w:lang w:eastAsia="zh-CN"/>
        </w:rPr>
        <w:t>）</w:t>
      </w:r>
      <w:r>
        <w:rPr>
          <w:rFonts w:hint="eastAsia" w:asciiTheme="minorEastAsia" w:hAnsiTheme="minorEastAsia" w:eastAsiaTheme="minorEastAsia" w:cstheme="minorEastAsia"/>
          <w:bCs/>
          <w:color w:val="auto"/>
          <w:sz w:val="24"/>
          <w:szCs w:val="24"/>
          <w:highlight w:val="none"/>
        </w:rPr>
        <w:t>指导全州工业和信息化领域人才开发与培训工作。</w:t>
      </w:r>
    </w:p>
    <w:p>
      <w:pPr>
        <w:widowControl/>
        <w:numPr>
          <w:ilvl w:val="0"/>
          <w:numId w:val="0"/>
        </w:numPr>
        <w:spacing w:before="183" w:beforeLines="50" w:after="200" w:line="540" w:lineRule="exact"/>
        <w:ind w:left="210" w:leftChars="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lang w:eastAsia="zh-CN"/>
        </w:rPr>
        <w:t>（</w:t>
      </w:r>
      <w:r>
        <w:rPr>
          <w:rFonts w:hint="eastAsia" w:asciiTheme="minorEastAsia" w:hAnsiTheme="minorEastAsia" w:eastAsiaTheme="minorEastAsia" w:cstheme="minorEastAsia"/>
          <w:bCs/>
          <w:color w:val="auto"/>
          <w:sz w:val="24"/>
          <w:szCs w:val="24"/>
          <w:highlight w:val="none"/>
          <w:lang w:val="en-US" w:eastAsia="zh-CN"/>
        </w:rPr>
        <w:t>17</w:t>
      </w:r>
      <w:r>
        <w:rPr>
          <w:rFonts w:hint="eastAsia" w:asciiTheme="minorEastAsia" w:hAnsiTheme="minorEastAsia" w:eastAsiaTheme="minorEastAsia" w:cstheme="minorEastAsia"/>
          <w:bCs/>
          <w:color w:val="auto"/>
          <w:sz w:val="24"/>
          <w:szCs w:val="24"/>
          <w:highlight w:val="none"/>
          <w:lang w:eastAsia="zh-CN"/>
        </w:rPr>
        <w:t>）</w:t>
      </w:r>
      <w:r>
        <w:rPr>
          <w:rFonts w:hint="eastAsia" w:asciiTheme="minorEastAsia" w:hAnsiTheme="minorEastAsia" w:eastAsiaTheme="minorEastAsia" w:cstheme="minorEastAsia"/>
          <w:bCs/>
          <w:color w:val="auto"/>
          <w:sz w:val="24"/>
          <w:szCs w:val="24"/>
          <w:highlight w:val="none"/>
        </w:rPr>
        <w:t>指导国有煤炭企业改革工作，促进煤炭行业产业结构调整，做好国有煤炭企业职工安置和维护职工队伍稳定工作。</w:t>
      </w:r>
    </w:p>
    <w:p>
      <w:pPr>
        <w:widowControl/>
        <w:numPr>
          <w:ilvl w:val="0"/>
          <w:numId w:val="0"/>
        </w:numPr>
        <w:spacing w:before="183" w:beforeLines="50" w:after="200" w:line="540" w:lineRule="exact"/>
        <w:ind w:left="210" w:leftChars="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lang w:eastAsia="zh-CN"/>
        </w:rPr>
        <w:t>（</w:t>
      </w:r>
      <w:r>
        <w:rPr>
          <w:rFonts w:hint="eastAsia" w:asciiTheme="minorEastAsia" w:hAnsiTheme="minorEastAsia" w:eastAsiaTheme="minorEastAsia" w:cstheme="minorEastAsia"/>
          <w:bCs/>
          <w:color w:val="auto"/>
          <w:sz w:val="24"/>
          <w:szCs w:val="24"/>
          <w:highlight w:val="none"/>
          <w:lang w:val="en-US" w:eastAsia="zh-CN"/>
        </w:rPr>
        <w:t>18</w:t>
      </w:r>
      <w:r>
        <w:rPr>
          <w:rFonts w:hint="eastAsia" w:asciiTheme="minorEastAsia" w:hAnsiTheme="minorEastAsia" w:eastAsiaTheme="minorEastAsia" w:cstheme="minorEastAsia"/>
          <w:bCs/>
          <w:color w:val="auto"/>
          <w:sz w:val="24"/>
          <w:szCs w:val="24"/>
          <w:highlight w:val="none"/>
          <w:lang w:eastAsia="zh-CN"/>
        </w:rPr>
        <w:t>）</w:t>
      </w:r>
      <w:r>
        <w:rPr>
          <w:rFonts w:hint="eastAsia" w:asciiTheme="minorEastAsia" w:hAnsiTheme="minorEastAsia" w:eastAsiaTheme="minorEastAsia" w:cstheme="minorEastAsia"/>
          <w:bCs/>
          <w:color w:val="auto"/>
          <w:sz w:val="24"/>
          <w:szCs w:val="24"/>
          <w:highlight w:val="none"/>
        </w:rPr>
        <w:t>承担全州军民融合发展综合协调和督导落实、国防科技工业相关职责。</w:t>
      </w:r>
    </w:p>
    <w:p>
      <w:pPr>
        <w:widowControl/>
        <w:numPr>
          <w:ilvl w:val="0"/>
          <w:numId w:val="0"/>
        </w:numPr>
        <w:spacing w:before="183" w:beforeLines="50" w:after="200" w:line="540" w:lineRule="exact"/>
        <w:ind w:left="210" w:leftChars="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lang w:eastAsia="zh-CN"/>
        </w:rPr>
        <w:t>（</w:t>
      </w:r>
      <w:r>
        <w:rPr>
          <w:rFonts w:hint="eastAsia" w:asciiTheme="minorEastAsia" w:hAnsiTheme="minorEastAsia" w:eastAsiaTheme="minorEastAsia" w:cstheme="minorEastAsia"/>
          <w:bCs/>
          <w:color w:val="auto"/>
          <w:sz w:val="24"/>
          <w:szCs w:val="24"/>
          <w:highlight w:val="none"/>
          <w:lang w:val="en-US" w:eastAsia="zh-CN"/>
        </w:rPr>
        <w:t>19</w:t>
      </w:r>
      <w:r>
        <w:rPr>
          <w:rFonts w:hint="eastAsia" w:asciiTheme="minorEastAsia" w:hAnsiTheme="minorEastAsia" w:eastAsiaTheme="minorEastAsia" w:cstheme="minorEastAsia"/>
          <w:bCs/>
          <w:color w:val="auto"/>
          <w:sz w:val="24"/>
          <w:szCs w:val="24"/>
          <w:highlight w:val="none"/>
          <w:lang w:eastAsia="zh-CN"/>
        </w:rPr>
        <w:t>）</w:t>
      </w:r>
      <w:r>
        <w:rPr>
          <w:rFonts w:hint="eastAsia" w:asciiTheme="minorEastAsia" w:hAnsiTheme="minorEastAsia" w:eastAsiaTheme="minorEastAsia" w:cstheme="minorEastAsia"/>
          <w:bCs/>
          <w:color w:val="auto"/>
          <w:sz w:val="24"/>
          <w:szCs w:val="24"/>
          <w:highlight w:val="none"/>
        </w:rPr>
        <w:t>贯彻落实国家、省、州有关酒类发展产业的政策法规和决策部署，促进全州酒类产业发展。组织拟订全州酒类产业发展政策和规划，计划并组织实施。指导全州酒类产业发展布局，负责全州酒类产业行业管理工作；牵头全州酒类产业发展综合协调服务和重大问题研究，统筹协调全州酒类产业项目建设，负责全州酒类项目专项资金申报管理。</w:t>
      </w:r>
    </w:p>
    <w:p>
      <w:pPr>
        <w:widowControl/>
        <w:numPr>
          <w:ilvl w:val="0"/>
          <w:numId w:val="0"/>
        </w:numPr>
        <w:spacing w:before="183" w:beforeLines="50" w:after="200" w:line="540" w:lineRule="exact"/>
        <w:ind w:left="210" w:leftChars="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lang w:eastAsia="zh-CN"/>
        </w:rPr>
        <w:t>（</w:t>
      </w:r>
      <w:r>
        <w:rPr>
          <w:rFonts w:hint="eastAsia" w:asciiTheme="minorEastAsia" w:hAnsiTheme="minorEastAsia" w:eastAsiaTheme="minorEastAsia" w:cstheme="minorEastAsia"/>
          <w:bCs/>
          <w:color w:val="auto"/>
          <w:sz w:val="24"/>
          <w:szCs w:val="24"/>
          <w:highlight w:val="none"/>
          <w:lang w:val="en-US" w:eastAsia="zh-CN"/>
        </w:rPr>
        <w:t>20</w:t>
      </w:r>
      <w:r>
        <w:rPr>
          <w:rFonts w:hint="eastAsia" w:asciiTheme="minorEastAsia" w:hAnsiTheme="minorEastAsia" w:eastAsiaTheme="minorEastAsia" w:cstheme="minorEastAsia"/>
          <w:bCs/>
          <w:color w:val="auto"/>
          <w:sz w:val="24"/>
          <w:szCs w:val="24"/>
          <w:highlight w:val="none"/>
          <w:lang w:eastAsia="zh-CN"/>
        </w:rPr>
        <w:t>）</w:t>
      </w:r>
      <w:r>
        <w:rPr>
          <w:rFonts w:hint="eastAsia" w:asciiTheme="minorEastAsia" w:hAnsiTheme="minorEastAsia" w:eastAsiaTheme="minorEastAsia" w:cstheme="minorEastAsia"/>
          <w:bCs/>
          <w:color w:val="auto"/>
          <w:sz w:val="24"/>
          <w:szCs w:val="24"/>
          <w:highlight w:val="none"/>
        </w:rPr>
        <w:t>承办州人民政府办的其他事项。</w:t>
      </w:r>
    </w:p>
    <w:p>
      <w:pPr>
        <w:pStyle w:val="14"/>
        <w:widowControl/>
        <w:spacing w:before="183" w:beforeLines="50" w:after="183" w:afterLines="50" w:line="540" w:lineRule="exact"/>
        <w:ind w:firstLine="560"/>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3.</w:t>
      </w:r>
      <w:r>
        <w:rPr>
          <w:rFonts w:hint="eastAsia" w:ascii="宋体" w:hAnsi="宋体" w:eastAsia="宋体" w:cs="宋体"/>
          <w:b/>
          <w:bCs/>
          <w:color w:val="auto"/>
          <w:sz w:val="24"/>
          <w:szCs w:val="24"/>
          <w:highlight w:val="none"/>
        </w:rPr>
        <w:t xml:space="preserve"> 202</w:t>
      </w: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年</w:t>
      </w:r>
      <w:r>
        <w:rPr>
          <w:rFonts w:hint="eastAsia" w:ascii="宋体" w:hAnsi="宋体" w:eastAsia="宋体" w:cs="宋体"/>
          <w:b/>
          <w:bCs/>
          <w:caps w:val="0"/>
          <w:color w:val="auto"/>
          <w:spacing w:val="0"/>
          <w:sz w:val="24"/>
          <w:szCs w:val="24"/>
          <w:shd w:val="clear" w:color="auto" w:fill="FFFFFF"/>
        </w:rPr>
        <w:t>度</w:t>
      </w:r>
      <w:r>
        <w:rPr>
          <w:rFonts w:hint="eastAsia" w:ascii="宋体" w:hAnsi="宋体" w:eastAsia="宋体" w:cs="宋体"/>
          <w:b/>
          <w:bCs/>
          <w:color w:val="auto"/>
          <w:sz w:val="24"/>
          <w:szCs w:val="24"/>
          <w:highlight w:val="none"/>
        </w:rPr>
        <w:t>重点工作</w:t>
      </w:r>
      <w:r>
        <w:rPr>
          <w:rFonts w:hint="eastAsia" w:ascii="宋体" w:hAnsi="宋体" w:cs="宋体"/>
          <w:b/>
          <w:bCs/>
          <w:color w:val="auto"/>
          <w:sz w:val="24"/>
          <w:szCs w:val="24"/>
          <w:highlight w:val="none"/>
          <w:lang w:val="en-US" w:eastAsia="zh-CN"/>
        </w:rPr>
        <w:t>计划及</w:t>
      </w:r>
      <w:r>
        <w:rPr>
          <w:rFonts w:hint="eastAsia" w:ascii="宋体" w:hAnsi="宋体" w:eastAsia="宋体" w:cs="宋体"/>
          <w:b/>
          <w:bCs/>
          <w:color w:val="auto"/>
          <w:sz w:val="24"/>
          <w:szCs w:val="24"/>
          <w:highlight w:val="none"/>
        </w:rPr>
        <w:t>任务</w:t>
      </w:r>
      <w:r>
        <w:rPr>
          <w:rFonts w:hint="eastAsia" w:ascii="宋体" w:hAnsi="宋体" w:cs="宋体"/>
          <w:b/>
          <w:bCs/>
          <w:color w:val="auto"/>
          <w:sz w:val="24"/>
          <w:szCs w:val="24"/>
          <w:highlight w:val="none"/>
          <w:lang w:val="en-US" w:eastAsia="zh-CN"/>
        </w:rPr>
        <w:t>完成情况</w:t>
      </w:r>
    </w:p>
    <w:p>
      <w:pPr>
        <w:numPr>
          <w:ilvl w:val="0"/>
          <w:numId w:val="0"/>
        </w:numPr>
        <w:spacing w:line="580" w:lineRule="exact"/>
        <w:ind w:firstLine="720" w:firstLineChars="3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全州工信工作聚焦“三高四新”战略定位和使命任务，聚焦打造“三区两地”和建设“五个湘西”，坚持“速度优先、优势优先”方针，以优势产业链建设为总揽，突出项目建设、企业培育、环境优化，工业经济实现高速增长，制造业高质量发展迈出坚实步伐。</w:t>
      </w:r>
    </w:p>
    <w:p>
      <w:pPr>
        <w:numPr>
          <w:ilvl w:val="0"/>
          <w:numId w:val="0"/>
        </w:numPr>
        <w:spacing w:line="580" w:lineRule="exact"/>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（1）</w:t>
      </w:r>
      <w:r>
        <w:rPr>
          <w:rFonts w:hint="eastAsia" w:asciiTheme="minorEastAsia" w:hAnsiTheme="minorEastAsia" w:eastAsiaTheme="minorEastAsia" w:cstheme="minorEastAsia"/>
          <w:color w:val="auto"/>
          <w:sz w:val="24"/>
          <w:szCs w:val="24"/>
          <w:highlight w:val="none"/>
        </w:rPr>
        <w:t>工业运行高速增长。1-12月，全州规模工业增加值增速18.1%、两年平均增速11.1%，累计增速高于全国和全省平均水平、排名全省第一；其中，工业投资完成 80.1亿元、同比增长0.7%、两年平均增长18.2%，制造业投资完成56.5 亿元、同比增长11.8%；工业税收完成 15亿元、同比增长59.2%；工业贷款余额74.7亿元、同比增长7.3%，拉动作用增强。</w:t>
      </w:r>
    </w:p>
    <w:p>
      <w:pPr>
        <w:spacing w:line="580" w:lineRule="exact"/>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val="0"/>
          <w:bCs w:val="0"/>
          <w:color w:val="auto"/>
          <w:sz w:val="24"/>
          <w:szCs w:val="24"/>
          <w:highlight w:val="none"/>
          <w:lang w:eastAsia="zh-CN"/>
        </w:rPr>
        <w:t>（</w:t>
      </w:r>
      <w:r>
        <w:rPr>
          <w:rFonts w:hint="eastAsia" w:asciiTheme="minorEastAsia" w:hAnsiTheme="minorEastAsia" w:eastAsiaTheme="minorEastAsia" w:cstheme="minorEastAsia"/>
          <w:b w:val="0"/>
          <w:bCs w:val="0"/>
          <w:color w:val="auto"/>
          <w:sz w:val="24"/>
          <w:szCs w:val="24"/>
          <w:highlight w:val="none"/>
          <w:lang w:val="en-US" w:eastAsia="zh-CN"/>
        </w:rPr>
        <w:t>2</w:t>
      </w:r>
      <w:r>
        <w:rPr>
          <w:rFonts w:hint="eastAsia" w:asciiTheme="minorEastAsia" w:hAnsiTheme="minorEastAsia" w:eastAsiaTheme="minorEastAsia" w:cstheme="minorEastAsia"/>
          <w:b w:val="0"/>
          <w:bCs w:val="0"/>
          <w:color w:val="auto"/>
          <w:sz w:val="24"/>
          <w:szCs w:val="24"/>
          <w:highlight w:val="none"/>
          <w:lang w:eastAsia="zh-CN"/>
        </w:rPr>
        <w:t>）</w:t>
      </w:r>
      <w:r>
        <w:rPr>
          <w:rFonts w:hint="eastAsia" w:asciiTheme="minorEastAsia" w:hAnsiTheme="minorEastAsia" w:eastAsiaTheme="minorEastAsia" w:cstheme="minorEastAsia"/>
          <w:b w:val="0"/>
          <w:bCs w:val="0"/>
          <w:color w:val="auto"/>
          <w:sz w:val="24"/>
          <w:szCs w:val="24"/>
          <w:highlight w:val="none"/>
        </w:rPr>
        <w:t>优势产业持续发力</w:t>
      </w:r>
      <w:r>
        <w:rPr>
          <w:rFonts w:hint="eastAsia" w:asciiTheme="minorEastAsia" w:hAnsiTheme="minorEastAsia" w:eastAsiaTheme="minorEastAsia" w:cstheme="minorEastAsia"/>
          <w:b w:val="0"/>
          <w:bCs w:val="0"/>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1-12月，9条优势产业链产值增长 24.7 %，高于规模工业总产值增速 1.2 个百分点；白酒、锰锌新材料、锂电池、“两茶”产业链分别增长94%、39.5%、38.8%和22.5%，发展势头强劲。积极开展产业链精准招商，大力推进9条优势产业链建设。各“链长”、“链办”共外出招商20余次，招引项目39个、投资总额125亿元，为工业经济发展注入新动能。</w:t>
      </w:r>
    </w:p>
    <w:p>
      <w:pPr>
        <w:spacing w:line="580" w:lineRule="exact"/>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rPr>
        <w:t>）项目建设扎实推进。1-12月，我州动态调度的100个工业项目完成投资22.6亿元。酒鬼生产三区、立研锂电池、奥科新材料等一批重点产业项目开工建设；华美兴泰移动储能等26个项目建成投产，发展后劲不断增强。4个“省产品创新强基”项目建成投产,累计完成投资1.33亿元，突破关键技术11项。通信基础设施建设完成投资5.4亿元，新建5G基站1320个，超额完成全年任务。</w:t>
      </w:r>
    </w:p>
    <w:p>
      <w:pPr>
        <w:spacing w:line="580" w:lineRule="exact"/>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4</w:t>
      </w:r>
      <w:r>
        <w:rPr>
          <w:rFonts w:hint="eastAsia" w:asciiTheme="minorEastAsia" w:hAnsiTheme="minorEastAsia" w:eastAsiaTheme="minorEastAsia" w:cstheme="minorEastAsia"/>
          <w:color w:val="auto"/>
          <w:sz w:val="24"/>
          <w:szCs w:val="24"/>
          <w:highlight w:val="none"/>
        </w:rPr>
        <w:t>）企业培育成效明显。持之以恒抓好企业入规工作，推动中小企业专精特新发展，不断激发企业发展活力。全年新增45家以上。企业“上云”“上平台”完成年度任务，新增3家省小巨人企业和2家省新材料企业，新增省级企业技术中心1家，新增省工业品牌培育“示范企业”2家、“试点企业”3家，形成大中小企业协同发展的良好态势。</w:t>
      </w:r>
    </w:p>
    <w:p>
      <w:pPr>
        <w:spacing w:line="580" w:lineRule="exact"/>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rPr>
        <w:t>）营商环境持续改善。积极搭建中小企业融资服务平台，努力缓解企业融资难、融资贵问题。与州农行签订产业链支持战略合作协议，在3年合作期内为9条产业链企业累计提供各项融资不低于20亿元。州应急转贷资金完成98笔转贷业务，涉及续贷资金6.16亿元，共计应收综合费68.21万元，实收47.75万元，减免30%。积极协调电价优惠政策，全州工业企业享受电价优惠额度达1.32亿元。</w:t>
      </w:r>
    </w:p>
    <w:p>
      <w:pPr>
        <w:pStyle w:val="14"/>
        <w:widowControl/>
        <w:spacing w:before="183" w:beforeLines="50" w:after="183" w:afterLines="50" w:line="540" w:lineRule="exact"/>
        <w:ind w:firstLine="560"/>
        <w:rPr>
          <w:rFonts w:hint="eastAsia" w:ascii="宋体" w:hAnsi="宋体" w:eastAsia="宋体" w:cs="宋体"/>
          <w:b/>
          <w:bCs/>
          <w:color w:val="auto"/>
          <w:sz w:val="24"/>
          <w:szCs w:val="24"/>
          <w:highlight w:val="none"/>
          <w:lang w:val="en-US" w:eastAsia="zh-CN"/>
        </w:rPr>
      </w:pPr>
      <w:bookmarkStart w:id="7" w:name="_Hlk72098383"/>
      <w:r>
        <w:rPr>
          <w:rFonts w:hint="eastAsia" w:ascii="宋体" w:hAnsi="宋体" w:eastAsia="宋体" w:cs="宋体"/>
          <w:b/>
          <w:bCs/>
          <w:color w:val="auto"/>
          <w:sz w:val="24"/>
          <w:szCs w:val="24"/>
          <w:highlight w:val="none"/>
          <w:lang w:val="en-US" w:eastAsia="zh-CN"/>
        </w:rPr>
        <w:t>（二）单位年度整体支出绩效目标</w:t>
      </w:r>
    </w:p>
    <w:p>
      <w:pPr>
        <w:spacing w:line="580" w:lineRule="exact"/>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2021年在州委、州政府的坚强领导下，全局上下深入学习贯彻习近平新时代中国特色社会主义思想和习近平总书记考察</w:t>
      </w:r>
      <w:r>
        <w:rPr>
          <w:rFonts w:hint="eastAsia" w:asciiTheme="minorEastAsia" w:hAnsiTheme="minorEastAsia" w:eastAsiaTheme="minorEastAsia" w:cstheme="minorEastAsia"/>
          <w:color w:val="auto"/>
          <w:sz w:val="24"/>
          <w:szCs w:val="24"/>
          <w:highlight w:val="none"/>
          <w:lang w:val="en-US" w:eastAsia="zh-CN"/>
        </w:rPr>
        <w:t>湖</w:t>
      </w:r>
      <w:r>
        <w:rPr>
          <w:rFonts w:hint="eastAsia" w:asciiTheme="minorEastAsia" w:hAnsiTheme="minorEastAsia" w:eastAsiaTheme="minorEastAsia" w:cstheme="minorEastAsia"/>
          <w:color w:val="auto"/>
          <w:sz w:val="24"/>
          <w:szCs w:val="24"/>
          <w:highlight w:val="none"/>
        </w:rPr>
        <w:t>南重要讲话精神，坚决贯彻落实省、州委、州政府工作要求，以落实“六稳”“六保”任务为着力点，着力推动制造业高质量发展行稳致远；以机制体制改革创新为动力，推进现代园区体系建设；以优势产业链建设为引领，推进现代产业体系建设，推动工业经济实现高速增长。</w:t>
      </w:r>
    </w:p>
    <w:bookmarkEnd w:id="7"/>
    <w:p>
      <w:pPr>
        <w:numPr>
          <w:ilvl w:val="0"/>
          <w:numId w:val="1"/>
        </w:numPr>
        <w:spacing w:line="580" w:lineRule="exact"/>
        <w:ind w:firstLine="480" w:firstLineChars="200"/>
        <w:rPr>
          <w:rFonts w:hint="eastAsia" w:asciiTheme="minorEastAsia" w:hAnsiTheme="minorEastAsia" w:eastAsiaTheme="minorEastAsia" w:cstheme="minorEastAsia"/>
          <w:b w:val="0"/>
          <w:bCs w:val="0"/>
          <w:color w:val="auto"/>
          <w:sz w:val="24"/>
          <w:szCs w:val="24"/>
          <w:highlight w:val="none"/>
          <w:lang w:eastAsia="zh-CN"/>
        </w:rPr>
      </w:pPr>
      <w:r>
        <w:rPr>
          <w:rFonts w:hint="eastAsia" w:asciiTheme="minorEastAsia" w:hAnsiTheme="minorEastAsia" w:eastAsiaTheme="minorEastAsia" w:cstheme="minorEastAsia"/>
          <w:b w:val="0"/>
          <w:bCs w:val="0"/>
          <w:color w:val="auto"/>
          <w:sz w:val="24"/>
          <w:szCs w:val="24"/>
          <w:highlight w:val="none"/>
        </w:rPr>
        <w:t>全州规模工业增加值增长8%以上</w:t>
      </w:r>
      <w:r>
        <w:rPr>
          <w:rFonts w:hint="eastAsia" w:asciiTheme="minorEastAsia" w:hAnsiTheme="minorEastAsia" w:eastAsiaTheme="minorEastAsia" w:cstheme="minorEastAsia"/>
          <w:b w:val="0"/>
          <w:bCs w:val="0"/>
          <w:color w:val="auto"/>
          <w:sz w:val="24"/>
          <w:szCs w:val="24"/>
          <w:highlight w:val="none"/>
          <w:lang w:eastAsia="zh-CN"/>
        </w:rPr>
        <w:t>；</w:t>
      </w:r>
    </w:p>
    <w:p>
      <w:pPr>
        <w:numPr>
          <w:ilvl w:val="0"/>
          <w:numId w:val="1"/>
        </w:numPr>
        <w:spacing w:line="580" w:lineRule="exact"/>
        <w:ind w:firstLine="480" w:firstLineChars="200"/>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b w:val="0"/>
          <w:bCs w:val="0"/>
          <w:color w:val="auto"/>
          <w:sz w:val="24"/>
          <w:szCs w:val="24"/>
          <w:highlight w:val="none"/>
        </w:rPr>
        <w:t>制造业占规模工业增加值的比重提高3个百分点</w:t>
      </w:r>
      <w:r>
        <w:rPr>
          <w:rFonts w:hint="eastAsia" w:asciiTheme="minorEastAsia" w:hAnsiTheme="minorEastAsia" w:eastAsiaTheme="minorEastAsia" w:cstheme="minorEastAsia"/>
          <w:b w:val="0"/>
          <w:bCs w:val="0"/>
          <w:color w:val="auto"/>
          <w:sz w:val="24"/>
          <w:szCs w:val="24"/>
          <w:highlight w:val="none"/>
          <w:lang w:eastAsia="zh-CN"/>
        </w:rPr>
        <w:t>；</w:t>
      </w:r>
    </w:p>
    <w:p>
      <w:pPr>
        <w:numPr>
          <w:ilvl w:val="0"/>
          <w:numId w:val="1"/>
        </w:numPr>
        <w:spacing w:line="580" w:lineRule="exact"/>
        <w:ind w:firstLine="480" w:firstLineChars="200"/>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b w:val="0"/>
          <w:bCs w:val="0"/>
          <w:color w:val="auto"/>
          <w:sz w:val="24"/>
          <w:szCs w:val="24"/>
          <w:highlight w:val="none"/>
        </w:rPr>
        <w:t>工业投资及技改投资的比重提高3个百分点</w:t>
      </w:r>
      <w:r>
        <w:rPr>
          <w:rFonts w:hint="eastAsia" w:asciiTheme="minorEastAsia" w:hAnsiTheme="minorEastAsia" w:eastAsiaTheme="minorEastAsia" w:cstheme="minorEastAsia"/>
          <w:b w:val="0"/>
          <w:bCs w:val="0"/>
          <w:color w:val="auto"/>
          <w:sz w:val="24"/>
          <w:szCs w:val="24"/>
          <w:highlight w:val="none"/>
          <w:lang w:eastAsia="zh-CN"/>
        </w:rPr>
        <w:t>；</w:t>
      </w:r>
    </w:p>
    <w:p>
      <w:pPr>
        <w:numPr>
          <w:ilvl w:val="0"/>
          <w:numId w:val="1"/>
        </w:numPr>
        <w:spacing w:line="580" w:lineRule="exact"/>
        <w:ind w:firstLine="480" w:firstLineChars="200"/>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b w:val="0"/>
          <w:bCs w:val="0"/>
          <w:color w:val="auto"/>
          <w:sz w:val="24"/>
          <w:szCs w:val="24"/>
          <w:highlight w:val="none"/>
        </w:rPr>
        <w:t>新增入规企业35家，做好企业减费降税工作</w:t>
      </w:r>
      <w:r>
        <w:rPr>
          <w:rFonts w:hint="eastAsia" w:asciiTheme="minorEastAsia" w:hAnsiTheme="minorEastAsia" w:eastAsiaTheme="minorEastAsia" w:cstheme="minorEastAsia"/>
          <w:b w:val="0"/>
          <w:bCs w:val="0"/>
          <w:color w:val="auto"/>
          <w:sz w:val="24"/>
          <w:szCs w:val="24"/>
          <w:highlight w:val="none"/>
          <w:lang w:eastAsia="zh-CN"/>
        </w:rPr>
        <w:t>；</w:t>
      </w:r>
    </w:p>
    <w:p>
      <w:pPr>
        <w:numPr>
          <w:ilvl w:val="0"/>
          <w:numId w:val="1"/>
        </w:numPr>
        <w:spacing w:line="580" w:lineRule="exact"/>
        <w:ind w:firstLine="480" w:firstLineChars="200"/>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b w:val="0"/>
          <w:bCs w:val="0"/>
          <w:color w:val="auto"/>
          <w:sz w:val="24"/>
          <w:szCs w:val="24"/>
          <w:highlight w:val="none"/>
        </w:rPr>
        <w:t>完成园区投资100亿元以上，新建标准厂房100万平方米</w:t>
      </w:r>
      <w:r>
        <w:rPr>
          <w:rFonts w:hint="eastAsia" w:asciiTheme="minorEastAsia" w:hAnsiTheme="minorEastAsia" w:eastAsiaTheme="minorEastAsia" w:cstheme="minorEastAsia"/>
          <w:b w:val="0"/>
          <w:bCs w:val="0"/>
          <w:color w:val="auto"/>
          <w:sz w:val="24"/>
          <w:szCs w:val="24"/>
          <w:highlight w:val="none"/>
          <w:lang w:eastAsia="zh-CN"/>
        </w:rPr>
        <w:t>；</w:t>
      </w:r>
    </w:p>
    <w:p>
      <w:pPr>
        <w:numPr>
          <w:ilvl w:val="0"/>
          <w:numId w:val="1"/>
        </w:numPr>
        <w:spacing w:line="580" w:lineRule="exact"/>
        <w:ind w:firstLine="480" w:firstLineChars="200"/>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b w:val="0"/>
          <w:bCs w:val="0"/>
          <w:color w:val="auto"/>
          <w:sz w:val="24"/>
          <w:szCs w:val="24"/>
          <w:highlight w:val="none"/>
        </w:rPr>
        <w:t>实施智能制造示范项目10个</w:t>
      </w:r>
      <w:r>
        <w:rPr>
          <w:rFonts w:hint="eastAsia" w:asciiTheme="minorEastAsia" w:hAnsiTheme="minorEastAsia" w:eastAsiaTheme="minorEastAsia" w:cstheme="minorEastAsia"/>
          <w:b w:val="0"/>
          <w:bCs w:val="0"/>
          <w:color w:val="auto"/>
          <w:sz w:val="24"/>
          <w:szCs w:val="24"/>
          <w:highlight w:val="none"/>
          <w:lang w:eastAsia="zh-CN"/>
        </w:rPr>
        <w:t>；</w:t>
      </w:r>
    </w:p>
    <w:p>
      <w:pPr>
        <w:numPr>
          <w:ilvl w:val="0"/>
          <w:numId w:val="1"/>
        </w:numPr>
        <w:spacing w:line="580" w:lineRule="exact"/>
        <w:ind w:firstLine="480" w:firstLineChars="200"/>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b w:val="0"/>
          <w:bCs w:val="0"/>
          <w:color w:val="auto"/>
          <w:sz w:val="24"/>
          <w:szCs w:val="24"/>
          <w:highlight w:val="none"/>
        </w:rPr>
        <w:t>主动承接产业转移，引进投资3000万元以上的制造业项目30个。</w:t>
      </w:r>
    </w:p>
    <w:p>
      <w:pPr>
        <w:numPr>
          <w:ilvl w:val="0"/>
          <w:numId w:val="0"/>
        </w:numPr>
        <w:spacing w:before="183" w:beforeLines="50" w:after="183" w:afterLines="50" w:line="600" w:lineRule="exact"/>
        <w:ind w:left="630" w:leftChars="0"/>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lang w:val="en-US" w:eastAsia="zh-CN"/>
        </w:rPr>
        <w:t>二、一般公共预算</w:t>
      </w:r>
      <w:r>
        <w:rPr>
          <w:rFonts w:hint="eastAsia" w:asciiTheme="minorEastAsia" w:hAnsiTheme="minorEastAsia" w:eastAsiaTheme="minorEastAsia" w:cstheme="minorEastAsia"/>
          <w:b/>
          <w:bCs/>
          <w:color w:val="auto"/>
          <w:sz w:val="24"/>
          <w:szCs w:val="24"/>
          <w:highlight w:val="none"/>
        </w:rPr>
        <w:t>支出情况</w:t>
      </w:r>
    </w:p>
    <w:p>
      <w:pPr>
        <w:spacing w:line="580" w:lineRule="exact"/>
        <w:ind w:firstLine="480" w:firstLineChars="200"/>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b w:val="0"/>
          <w:bCs w:val="0"/>
          <w:color w:val="auto"/>
          <w:sz w:val="24"/>
          <w:szCs w:val="24"/>
          <w:highlight w:val="none"/>
        </w:rPr>
        <w:t>1.预算批复情况</w:t>
      </w:r>
    </w:p>
    <w:p>
      <w:pPr>
        <w:spacing w:line="600" w:lineRule="exact"/>
        <w:ind w:firstLine="480" w:firstLineChars="200"/>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rPr>
        <w:t>202</w:t>
      </w:r>
      <w:r>
        <w:rPr>
          <w:rFonts w:hint="eastAsia" w:asciiTheme="minorEastAsia" w:hAnsiTheme="minorEastAsia" w:eastAsiaTheme="minorEastAsia" w:cstheme="minorEastAsia"/>
          <w:color w:val="auto"/>
          <w:sz w:val="24"/>
          <w:szCs w:val="24"/>
          <w:highlight w:val="none"/>
          <w:lang w:val="en-US" w:eastAsia="zh-CN"/>
        </w:rPr>
        <w:t>1</w:t>
      </w:r>
      <w:r>
        <w:rPr>
          <w:rFonts w:hint="eastAsia" w:asciiTheme="minorEastAsia" w:hAnsiTheme="minorEastAsia" w:eastAsiaTheme="minorEastAsia" w:cstheme="minorEastAsia"/>
          <w:color w:val="auto"/>
          <w:sz w:val="24"/>
          <w:szCs w:val="24"/>
          <w:highlight w:val="none"/>
        </w:rPr>
        <w:t>年，</w:t>
      </w:r>
      <w:r>
        <w:rPr>
          <w:rFonts w:hint="eastAsia" w:asciiTheme="minorEastAsia" w:hAnsiTheme="minorEastAsia" w:eastAsiaTheme="minorEastAsia" w:cstheme="minorEastAsia"/>
          <w:color w:val="auto"/>
          <w:sz w:val="24"/>
          <w:szCs w:val="24"/>
          <w:highlight w:val="none"/>
          <w:lang w:val="en-US" w:eastAsia="zh-CN"/>
        </w:rPr>
        <w:t>根据《州财政局关于下达2021年度周及行政事业单位基本支出和项目支出预算的通知》（州预发【2021】*号），下达</w:t>
      </w:r>
      <w:r>
        <w:rPr>
          <w:rFonts w:hint="eastAsia" w:asciiTheme="minorEastAsia" w:hAnsiTheme="minorEastAsia" w:eastAsiaTheme="minorEastAsia" w:cstheme="minorEastAsia"/>
          <w:color w:val="auto"/>
          <w:sz w:val="24"/>
          <w:szCs w:val="24"/>
          <w:highlight w:val="none"/>
        </w:rPr>
        <w:t>本局全年支出</w:t>
      </w:r>
      <w:r>
        <w:rPr>
          <w:rFonts w:hint="eastAsia" w:asciiTheme="minorEastAsia" w:hAnsiTheme="minorEastAsia" w:eastAsiaTheme="minorEastAsia" w:cstheme="minorEastAsia"/>
          <w:color w:val="auto"/>
          <w:sz w:val="24"/>
          <w:szCs w:val="24"/>
          <w:highlight w:val="none"/>
          <w:lang w:val="en-US" w:eastAsia="zh-CN"/>
        </w:rPr>
        <w:t>预算1592.83</w:t>
      </w:r>
      <w:r>
        <w:rPr>
          <w:rFonts w:hint="eastAsia" w:asciiTheme="minorEastAsia" w:hAnsiTheme="minorEastAsia" w:eastAsiaTheme="minorEastAsia" w:cstheme="minorEastAsia"/>
          <w:color w:val="auto"/>
          <w:sz w:val="24"/>
          <w:szCs w:val="24"/>
          <w:highlight w:val="none"/>
        </w:rPr>
        <w:t>万元</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其中基本支出预算1455.98万元，项目支出136.85万元。</w:t>
      </w:r>
    </w:p>
    <w:p>
      <w:pPr>
        <w:spacing w:line="580" w:lineRule="exact"/>
        <w:ind w:firstLine="480" w:firstLineChars="200"/>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b w:val="0"/>
          <w:bCs w:val="0"/>
          <w:color w:val="auto"/>
          <w:sz w:val="24"/>
          <w:szCs w:val="24"/>
          <w:highlight w:val="none"/>
        </w:rPr>
        <w:t>2.整体收支情况</w:t>
      </w:r>
    </w:p>
    <w:p>
      <w:pPr>
        <w:spacing w:line="600" w:lineRule="exact"/>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2021年初调整后结转结余1,802.</w:t>
      </w:r>
      <w:r>
        <w:rPr>
          <w:rFonts w:hint="eastAsia" w:asciiTheme="minorEastAsia" w:hAnsiTheme="minorEastAsia" w:eastAsiaTheme="minorEastAsia" w:cstheme="minorEastAsia"/>
          <w:color w:val="auto"/>
          <w:sz w:val="24"/>
          <w:szCs w:val="24"/>
          <w:highlight w:val="none"/>
          <w:lang w:val="en-US" w:eastAsia="zh-CN"/>
        </w:rPr>
        <w:t>42</w:t>
      </w:r>
      <w:r>
        <w:rPr>
          <w:rFonts w:hint="eastAsia" w:asciiTheme="minorEastAsia" w:hAnsiTheme="minorEastAsia" w:eastAsiaTheme="minorEastAsia" w:cstheme="minorEastAsia"/>
          <w:color w:val="auto"/>
          <w:sz w:val="24"/>
          <w:szCs w:val="24"/>
          <w:highlight w:val="none"/>
        </w:rPr>
        <w:t>万元，部门收入决算合计</w:t>
      </w:r>
      <w:r>
        <w:rPr>
          <w:rFonts w:hint="eastAsia" w:asciiTheme="minorEastAsia" w:hAnsiTheme="minorEastAsia" w:eastAsiaTheme="minorEastAsia" w:cstheme="minorEastAsia"/>
          <w:color w:val="auto"/>
          <w:sz w:val="24"/>
          <w:szCs w:val="24"/>
          <w:highlight w:val="none"/>
          <w:lang w:val="en-US" w:eastAsia="zh-CN"/>
        </w:rPr>
        <w:t>7020.73</w:t>
      </w:r>
      <w:r>
        <w:rPr>
          <w:rFonts w:hint="eastAsia" w:asciiTheme="minorEastAsia" w:hAnsiTheme="minorEastAsia" w:eastAsiaTheme="minorEastAsia" w:cstheme="minorEastAsia"/>
          <w:color w:val="auto"/>
          <w:sz w:val="24"/>
          <w:szCs w:val="24"/>
          <w:highlight w:val="none"/>
        </w:rPr>
        <w:t>万元，部门支出决算合计</w:t>
      </w:r>
      <w:r>
        <w:rPr>
          <w:rFonts w:hint="eastAsia" w:asciiTheme="minorEastAsia" w:hAnsiTheme="minorEastAsia" w:eastAsiaTheme="minorEastAsia" w:cstheme="minorEastAsia"/>
          <w:color w:val="auto"/>
          <w:sz w:val="24"/>
          <w:szCs w:val="24"/>
          <w:highlight w:val="none"/>
          <w:lang w:val="en-US" w:eastAsia="zh-CN"/>
        </w:rPr>
        <w:t>6568.25</w:t>
      </w:r>
      <w:r>
        <w:rPr>
          <w:rFonts w:hint="eastAsia" w:asciiTheme="minorEastAsia" w:hAnsiTheme="minorEastAsia" w:eastAsiaTheme="minorEastAsia" w:cstheme="minorEastAsia"/>
          <w:color w:val="auto"/>
          <w:sz w:val="24"/>
          <w:szCs w:val="24"/>
          <w:highlight w:val="none"/>
        </w:rPr>
        <w:t>万元，年末结转结余</w:t>
      </w:r>
      <w:r>
        <w:rPr>
          <w:rFonts w:hint="eastAsia" w:asciiTheme="minorEastAsia" w:hAnsiTheme="minorEastAsia" w:eastAsiaTheme="minorEastAsia" w:cstheme="minorEastAsia"/>
          <w:color w:val="auto"/>
          <w:sz w:val="24"/>
          <w:szCs w:val="24"/>
          <w:highlight w:val="none"/>
          <w:lang w:val="en-US" w:eastAsia="zh-CN"/>
        </w:rPr>
        <w:t>452.48</w:t>
      </w:r>
      <w:r>
        <w:rPr>
          <w:rFonts w:hint="eastAsia" w:asciiTheme="minorEastAsia" w:hAnsiTheme="minorEastAsia" w:eastAsiaTheme="minorEastAsia" w:cstheme="minorEastAsia"/>
          <w:color w:val="auto"/>
          <w:sz w:val="24"/>
          <w:szCs w:val="24"/>
          <w:highlight w:val="none"/>
        </w:rPr>
        <w:t>万元。</w:t>
      </w:r>
    </w:p>
    <w:p>
      <w:pPr>
        <w:keepNext w:val="0"/>
        <w:keepLines w:val="0"/>
        <w:pageBreakBefore w:val="0"/>
        <w:widowControl w:val="0"/>
        <w:kinsoku/>
        <w:wordWrap/>
        <w:overflowPunct/>
        <w:topLinePunct w:val="0"/>
        <w:autoSpaceDE/>
        <w:autoSpaceDN/>
        <w:bidi w:val="0"/>
        <w:adjustRightInd/>
        <w:snapToGrid/>
        <w:spacing w:before="183" w:beforeLines="50" w:line="240" w:lineRule="auto"/>
        <w:ind w:firstLine="482" w:firstLineChars="200"/>
        <w:textAlignment w:val="auto"/>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w:t>
      </w:r>
      <w:r>
        <w:rPr>
          <w:rFonts w:hint="eastAsia" w:asciiTheme="minorEastAsia" w:hAnsiTheme="minorEastAsia" w:eastAsiaTheme="minorEastAsia" w:cstheme="minorEastAsia"/>
          <w:b/>
          <w:bCs/>
          <w:color w:val="auto"/>
          <w:sz w:val="24"/>
          <w:szCs w:val="24"/>
          <w:highlight w:val="none"/>
          <w:lang w:val="en-US" w:eastAsia="zh-CN"/>
        </w:rPr>
        <w:t>一</w:t>
      </w:r>
      <w:r>
        <w:rPr>
          <w:rFonts w:hint="eastAsia" w:asciiTheme="minorEastAsia" w:hAnsiTheme="minorEastAsia" w:eastAsiaTheme="minorEastAsia" w:cstheme="minorEastAsia"/>
          <w:b/>
          <w:bCs/>
          <w:color w:val="auto"/>
          <w:sz w:val="24"/>
          <w:szCs w:val="24"/>
          <w:highlight w:val="none"/>
        </w:rPr>
        <w:t>）基本支出情况</w:t>
      </w:r>
    </w:p>
    <w:p>
      <w:pPr>
        <w:spacing w:line="600" w:lineRule="exact"/>
        <w:ind w:firstLine="643"/>
        <w:rPr>
          <w:rFonts w:hint="eastAsia" w:asciiTheme="minorEastAsia" w:hAnsiTheme="minorEastAsia" w:eastAsiaTheme="minorEastAsia" w:cstheme="minorEastAsia"/>
          <w:color w:val="auto"/>
          <w:spacing w:val="-6"/>
          <w:sz w:val="24"/>
          <w:szCs w:val="24"/>
          <w:highlight w:val="none"/>
        </w:rPr>
      </w:pPr>
      <w:r>
        <w:rPr>
          <w:rFonts w:hint="eastAsia" w:asciiTheme="minorEastAsia" w:hAnsiTheme="minorEastAsia" w:eastAsiaTheme="minorEastAsia" w:cstheme="minorEastAsia"/>
          <w:color w:val="auto"/>
          <w:sz w:val="24"/>
          <w:szCs w:val="24"/>
          <w:highlight w:val="none"/>
        </w:rPr>
        <w:t>202</w:t>
      </w:r>
      <w:r>
        <w:rPr>
          <w:rFonts w:hint="eastAsia" w:asciiTheme="minorEastAsia" w:hAnsiTheme="minorEastAsia" w:eastAsiaTheme="minorEastAsia" w:cstheme="minorEastAsia"/>
          <w:color w:val="auto"/>
          <w:sz w:val="24"/>
          <w:szCs w:val="24"/>
          <w:highlight w:val="none"/>
          <w:lang w:val="en-US" w:eastAsia="zh-CN"/>
        </w:rPr>
        <w:t>1</w:t>
      </w:r>
      <w:r>
        <w:rPr>
          <w:rFonts w:hint="eastAsia" w:asciiTheme="minorEastAsia" w:hAnsiTheme="minorEastAsia" w:eastAsiaTheme="minorEastAsia" w:cstheme="minorEastAsia"/>
          <w:color w:val="auto"/>
          <w:sz w:val="24"/>
          <w:szCs w:val="24"/>
          <w:highlight w:val="none"/>
        </w:rPr>
        <w:t>年基本支出合计</w:t>
      </w:r>
      <w:r>
        <w:rPr>
          <w:rFonts w:hint="eastAsia" w:asciiTheme="minorEastAsia" w:hAnsiTheme="minorEastAsia" w:eastAsiaTheme="minorEastAsia" w:cstheme="minorEastAsia"/>
          <w:color w:val="auto"/>
          <w:sz w:val="24"/>
          <w:szCs w:val="24"/>
          <w:highlight w:val="none"/>
          <w:lang w:val="en-US" w:eastAsia="zh-CN"/>
        </w:rPr>
        <w:t>2490.10</w:t>
      </w:r>
      <w:r>
        <w:rPr>
          <w:rFonts w:hint="eastAsia" w:asciiTheme="minorEastAsia" w:hAnsiTheme="minorEastAsia" w:eastAsiaTheme="minorEastAsia" w:cstheme="minorEastAsia"/>
          <w:color w:val="auto"/>
          <w:sz w:val="24"/>
          <w:szCs w:val="24"/>
          <w:highlight w:val="none"/>
        </w:rPr>
        <w:t>万元，其中人员经费</w:t>
      </w:r>
      <w:r>
        <w:rPr>
          <w:rFonts w:hint="eastAsia" w:asciiTheme="minorEastAsia" w:hAnsiTheme="minorEastAsia" w:eastAsiaTheme="minorEastAsia" w:cstheme="minorEastAsia"/>
          <w:color w:val="auto"/>
          <w:sz w:val="24"/>
          <w:szCs w:val="24"/>
          <w:highlight w:val="none"/>
          <w:lang w:val="en-US" w:eastAsia="zh-CN"/>
        </w:rPr>
        <w:t>2119.96</w:t>
      </w:r>
      <w:r>
        <w:rPr>
          <w:rFonts w:hint="eastAsia" w:asciiTheme="minorEastAsia" w:hAnsiTheme="minorEastAsia" w:eastAsiaTheme="minorEastAsia" w:cstheme="minorEastAsia"/>
          <w:color w:val="auto"/>
          <w:sz w:val="24"/>
          <w:szCs w:val="24"/>
          <w:highlight w:val="none"/>
        </w:rPr>
        <w:t>万元，公用经费</w:t>
      </w:r>
      <w:r>
        <w:rPr>
          <w:rFonts w:hint="eastAsia" w:asciiTheme="minorEastAsia" w:hAnsiTheme="minorEastAsia" w:eastAsiaTheme="minorEastAsia" w:cstheme="minorEastAsia"/>
          <w:color w:val="auto"/>
          <w:sz w:val="24"/>
          <w:szCs w:val="24"/>
          <w:highlight w:val="none"/>
          <w:lang w:val="en-US" w:eastAsia="zh-CN"/>
        </w:rPr>
        <w:t>370.14</w:t>
      </w:r>
      <w:r>
        <w:rPr>
          <w:rFonts w:hint="eastAsia" w:asciiTheme="minorEastAsia" w:hAnsiTheme="minorEastAsia" w:eastAsiaTheme="minorEastAsia" w:cstheme="minorEastAsia"/>
          <w:color w:val="auto"/>
          <w:sz w:val="24"/>
          <w:szCs w:val="24"/>
          <w:highlight w:val="none"/>
        </w:rPr>
        <w:t>万元；主要用于一般公共服务支出</w:t>
      </w:r>
      <w:r>
        <w:rPr>
          <w:rFonts w:hint="eastAsia" w:asciiTheme="minorEastAsia" w:hAnsiTheme="minorEastAsia" w:eastAsiaTheme="minorEastAsia" w:cstheme="minorEastAsia"/>
          <w:color w:val="auto"/>
          <w:sz w:val="24"/>
          <w:szCs w:val="24"/>
          <w:highlight w:val="none"/>
          <w:lang w:val="en-US" w:eastAsia="zh-CN"/>
        </w:rPr>
        <w:t>1937.81</w:t>
      </w:r>
      <w:r>
        <w:rPr>
          <w:rFonts w:hint="eastAsia" w:asciiTheme="minorEastAsia" w:hAnsiTheme="minorEastAsia" w:eastAsiaTheme="minorEastAsia" w:cstheme="minorEastAsia"/>
          <w:color w:val="auto"/>
          <w:sz w:val="24"/>
          <w:szCs w:val="24"/>
          <w:highlight w:val="none"/>
        </w:rPr>
        <w:t>万元、教育支出</w:t>
      </w:r>
      <w:r>
        <w:rPr>
          <w:rFonts w:hint="eastAsia" w:asciiTheme="minorEastAsia" w:hAnsiTheme="minorEastAsia" w:eastAsiaTheme="minorEastAsia" w:cstheme="minorEastAsia"/>
          <w:color w:val="auto"/>
          <w:sz w:val="24"/>
          <w:szCs w:val="24"/>
          <w:highlight w:val="none"/>
          <w:lang w:val="en-US" w:eastAsia="zh-CN"/>
        </w:rPr>
        <w:t>136.02</w:t>
      </w:r>
      <w:r>
        <w:rPr>
          <w:rFonts w:hint="eastAsia" w:asciiTheme="minorEastAsia" w:hAnsiTheme="minorEastAsia" w:eastAsiaTheme="minorEastAsia" w:cstheme="minorEastAsia"/>
          <w:color w:val="auto"/>
          <w:sz w:val="24"/>
          <w:szCs w:val="24"/>
          <w:highlight w:val="none"/>
        </w:rPr>
        <w:t>万元、社会保障和就业支出</w:t>
      </w:r>
      <w:r>
        <w:rPr>
          <w:rFonts w:hint="eastAsia" w:asciiTheme="minorEastAsia" w:hAnsiTheme="minorEastAsia" w:eastAsiaTheme="minorEastAsia" w:cstheme="minorEastAsia"/>
          <w:color w:val="auto"/>
          <w:sz w:val="24"/>
          <w:szCs w:val="24"/>
          <w:highlight w:val="none"/>
          <w:lang w:val="en-US" w:eastAsia="zh-CN"/>
        </w:rPr>
        <w:t>804.28</w:t>
      </w:r>
      <w:r>
        <w:rPr>
          <w:rFonts w:hint="eastAsia" w:asciiTheme="minorEastAsia" w:hAnsiTheme="minorEastAsia" w:eastAsiaTheme="minorEastAsia" w:cstheme="minorEastAsia"/>
          <w:color w:val="auto"/>
          <w:sz w:val="24"/>
          <w:szCs w:val="24"/>
          <w:highlight w:val="none"/>
        </w:rPr>
        <w:t>万元、卫生健康支出</w:t>
      </w:r>
      <w:r>
        <w:rPr>
          <w:rFonts w:hint="eastAsia" w:asciiTheme="minorEastAsia" w:hAnsiTheme="minorEastAsia" w:eastAsiaTheme="minorEastAsia" w:cstheme="minorEastAsia"/>
          <w:color w:val="auto"/>
          <w:sz w:val="24"/>
          <w:szCs w:val="24"/>
          <w:highlight w:val="none"/>
          <w:lang w:val="en-US" w:eastAsia="zh-CN"/>
        </w:rPr>
        <w:t>113.39</w:t>
      </w:r>
      <w:r>
        <w:rPr>
          <w:rFonts w:hint="eastAsia" w:asciiTheme="minorEastAsia" w:hAnsiTheme="minorEastAsia" w:eastAsiaTheme="minorEastAsia" w:cstheme="minorEastAsia"/>
          <w:color w:val="auto"/>
          <w:sz w:val="24"/>
          <w:szCs w:val="24"/>
          <w:highlight w:val="none"/>
        </w:rPr>
        <w:t>万元、资源勘探工业信息等支出</w:t>
      </w:r>
      <w:r>
        <w:rPr>
          <w:rFonts w:hint="eastAsia" w:asciiTheme="minorEastAsia" w:hAnsiTheme="minorEastAsia" w:eastAsiaTheme="minorEastAsia" w:cstheme="minorEastAsia"/>
          <w:color w:val="auto"/>
          <w:sz w:val="24"/>
          <w:szCs w:val="24"/>
          <w:highlight w:val="none"/>
          <w:lang w:val="en-US" w:eastAsia="zh-CN"/>
        </w:rPr>
        <w:t>2524.01</w:t>
      </w:r>
      <w:r>
        <w:rPr>
          <w:rFonts w:hint="eastAsia" w:asciiTheme="minorEastAsia" w:hAnsiTheme="minorEastAsia" w:eastAsiaTheme="minorEastAsia" w:cstheme="minorEastAsia"/>
          <w:color w:val="auto"/>
          <w:sz w:val="24"/>
          <w:szCs w:val="24"/>
          <w:highlight w:val="none"/>
        </w:rPr>
        <w:t>万元、住房保障支出</w:t>
      </w:r>
      <w:r>
        <w:rPr>
          <w:rFonts w:hint="eastAsia" w:asciiTheme="minorEastAsia" w:hAnsiTheme="minorEastAsia" w:eastAsiaTheme="minorEastAsia" w:cstheme="minorEastAsia"/>
          <w:color w:val="auto"/>
          <w:spacing w:val="-6"/>
          <w:sz w:val="24"/>
          <w:szCs w:val="24"/>
          <w:highlight w:val="none"/>
          <w:lang w:val="en-US" w:eastAsia="zh-CN"/>
        </w:rPr>
        <w:t>85.72</w:t>
      </w:r>
      <w:r>
        <w:rPr>
          <w:rFonts w:hint="eastAsia" w:asciiTheme="minorEastAsia" w:hAnsiTheme="minorEastAsia" w:eastAsiaTheme="minorEastAsia" w:cstheme="minorEastAsia"/>
          <w:color w:val="auto"/>
          <w:spacing w:val="-6"/>
          <w:sz w:val="24"/>
          <w:szCs w:val="24"/>
          <w:highlight w:val="none"/>
        </w:rPr>
        <w:t>万元</w:t>
      </w:r>
      <w:r>
        <w:rPr>
          <w:rFonts w:hint="eastAsia" w:asciiTheme="minorEastAsia" w:hAnsiTheme="minorEastAsia" w:eastAsiaTheme="minorEastAsia" w:cstheme="minorEastAsia"/>
          <w:color w:val="auto"/>
          <w:spacing w:val="-6"/>
          <w:sz w:val="24"/>
          <w:szCs w:val="24"/>
          <w:highlight w:val="none"/>
          <w:lang w:eastAsia="zh-CN"/>
        </w:rPr>
        <w:t>、</w:t>
      </w:r>
      <w:r>
        <w:rPr>
          <w:rFonts w:hint="eastAsia" w:asciiTheme="minorEastAsia" w:hAnsiTheme="minorEastAsia" w:eastAsiaTheme="minorEastAsia" w:cstheme="minorEastAsia"/>
          <w:color w:val="auto"/>
          <w:spacing w:val="-6"/>
          <w:sz w:val="24"/>
          <w:szCs w:val="24"/>
          <w:highlight w:val="none"/>
          <w:lang w:val="en-US" w:eastAsia="zh-CN"/>
        </w:rPr>
        <w:t>粮油物资储备支出727.79万元</w:t>
      </w:r>
      <w:r>
        <w:rPr>
          <w:rFonts w:hint="eastAsia" w:asciiTheme="minorEastAsia" w:hAnsiTheme="minorEastAsia" w:eastAsiaTheme="minorEastAsia" w:cstheme="minorEastAsia"/>
          <w:color w:val="auto"/>
          <w:spacing w:val="-6"/>
          <w:sz w:val="24"/>
          <w:szCs w:val="24"/>
          <w:highlight w:val="none"/>
        </w:rPr>
        <w:t>，</w:t>
      </w:r>
      <w:r>
        <w:rPr>
          <w:rFonts w:hint="eastAsia" w:asciiTheme="minorEastAsia" w:hAnsiTheme="minorEastAsia" w:eastAsiaTheme="minorEastAsia" w:cstheme="minorEastAsia"/>
          <w:color w:val="auto"/>
          <w:spacing w:val="-6"/>
          <w:sz w:val="24"/>
          <w:szCs w:val="24"/>
          <w:highlight w:val="none"/>
          <w:lang w:val="en-US" w:eastAsia="zh-CN"/>
        </w:rPr>
        <w:t>以上资金支出</w:t>
      </w:r>
      <w:r>
        <w:rPr>
          <w:rFonts w:hint="eastAsia" w:asciiTheme="minorEastAsia" w:hAnsiTheme="minorEastAsia" w:eastAsiaTheme="minorEastAsia" w:cstheme="minorEastAsia"/>
          <w:color w:val="auto"/>
          <w:spacing w:val="-6"/>
          <w:sz w:val="24"/>
          <w:szCs w:val="24"/>
          <w:highlight w:val="none"/>
        </w:rPr>
        <w:t>均按财政部门要求进行使用和管理。</w:t>
      </w:r>
    </w:p>
    <w:p>
      <w:pPr>
        <w:spacing w:line="600" w:lineRule="exact"/>
        <w:ind w:firstLine="643"/>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按科目分类年度工资福利支出</w:t>
      </w:r>
      <w:r>
        <w:rPr>
          <w:rFonts w:hint="eastAsia" w:asciiTheme="minorEastAsia" w:hAnsiTheme="minorEastAsia" w:eastAsiaTheme="minorEastAsia" w:cstheme="minorEastAsia"/>
          <w:color w:val="auto"/>
          <w:sz w:val="24"/>
          <w:szCs w:val="24"/>
          <w:highlight w:val="none"/>
          <w:lang w:val="en-US" w:eastAsia="zh-CN"/>
        </w:rPr>
        <w:t>1143.82</w:t>
      </w:r>
      <w:r>
        <w:rPr>
          <w:rFonts w:hint="eastAsia" w:asciiTheme="minorEastAsia" w:hAnsiTheme="minorEastAsia" w:eastAsiaTheme="minorEastAsia" w:cstheme="minorEastAsia"/>
          <w:color w:val="auto"/>
          <w:sz w:val="24"/>
          <w:szCs w:val="24"/>
          <w:highlight w:val="none"/>
        </w:rPr>
        <w:t>万元，商品服务支出</w:t>
      </w:r>
      <w:r>
        <w:rPr>
          <w:rFonts w:hint="eastAsia" w:asciiTheme="minorEastAsia" w:hAnsiTheme="minorEastAsia" w:eastAsiaTheme="minorEastAsia" w:cstheme="minorEastAsia"/>
          <w:color w:val="auto"/>
          <w:sz w:val="24"/>
          <w:szCs w:val="24"/>
          <w:highlight w:val="none"/>
          <w:lang w:val="en-US" w:eastAsia="zh-CN"/>
        </w:rPr>
        <w:t>2021.74</w:t>
      </w:r>
      <w:r>
        <w:rPr>
          <w:rFonts w:hint="eastAsia" w:asciiTheme="minorEastAsia" w:hAnsiTheme="minorEastAsia" w:eastAsiaTheme="minorEastAsia" w:cstheme="minorEastAsia"/>
          <w:color w:val="auto"/>
          <w:sz w:val="24"/>
          <w:szCs w:val="24"/>
          <w:highlight w:val="none"/>
        </w:rPr>
        <w:t>万元，对个人与家庭补助支出</w:t>
      </w:r>
      <w:r>
        <w:rPr>
          <w:rFonts w:hint="eastAsia" w:asciiTheme="minorEastAsia" w:hAnsiTheme="minorEastAsia" w:eastAsiaTheme="minorEastAsia" w:cstheme="minorEastAsia"/>
          <w:color w:val="auto"/>
          <w:sz w:val="24"/>
          <w:szCs w:val="24"/>
          <w:highlight w:val="none"/>
          <w:lang w:val="en-US" w:eastAsia="zh-CN"/>
        </w:rPr>
        <w:t>1416.74</w:t>
      </w:r>
      <w:r>
        <w:rPr>
          <w:rFonts w:hint="eastAsia" w:asciiTheme="minorEastAsia" w:hAnsiTheme="minorEastAsia" w:eastAsiaTheme="minorEastAsia" w:cstheme="minorEastAsia"/>
          <w:color w:val="auto"/>
          <w:sz w:val="24"/>
          <w:szCs w:val="24"/>
          <w:highlight w:val="none"/>
        </w:rPr>
        <w:t>万元，资本性支出</w:t>
      </w:r>
      <w:r>
        <w:rPr>
          <w:rFonts w:hint="eastAsia" w:asciiTheme="minorEastAsia" w:hAnsiTheme="minorEastAsia" w:eastAsiaTheme="minorEastAsia" w:cstheme="minorEastAsia"/>
          <w:color w:val="auto"/>
          <w:sz w:val="24"/>
          <w:szCs w:val="24"/>
          <w:highlight w:val="none"/>
          <w:lang w:val="en-US" w:eastAsia="zh-CN"/>
        </w:rPr>
        <w:t>2.95</w:t>
      </w:r>
      <w:r>
        <w:rPr>
          <w:rFonts w:hint="eastAsia" w:asciiTheme="minorEastAsia" w:hAnsiTheme="minorEastAsia" w:eastAsiaTheme="minorEastAsia" w:cstheme="minorEastAsia"/>
          <w:color w:val="auto"/>
          <w:sz w:val="24"/>
          <w:szCs w:val="24"/>
          <w:highlight w:val="none"/>
        </w:rPr>
        <w:t>万元</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对企业补助</w:t>
      </w:r>
      <w:r>
        <w:rPr>
          <w:rFonts w:hint="eastAsia" w:asciiTheme="minorEastAsia" w:hAnsiTheme="minorEastAsia" w:eastAsiaTheme="minorEastAsia" w:cstheme="minorEastAsia"/>
          <w:color w:val="auto"/>
          <w:sz w:val="24"/>
          <w:szCs w:val="24"/>
          <w:highlight w:val="none"/>
          <w:lang w:val="en-US" w:eastAsia="zh-CN"/>
        </w:rPr>
        <w:t>1982.99</w:t>
      </w:r>
      <w:r>
        <w:rPr>
          <w:rFonts w:hint="eastAsia" w:asciiTheme="minorEastAsia" w:hAnsiTheme="minorEastAsia" w:eastAsiaTheme="minorEastAsia" w:cstheme="minorEastAsia"/>
          <w:color w:val="auto"/>
          <w:sz w:val="24"/>
          <w:szCs w:val="24"/>
          <w:highlight w:val="none"/>
        </w:rPr>
        <w:t>万元</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支出合计</w:t>
      </w:r>
      <w:r>
        <w:rPr>
          <w:rFonts w:hint="eastAsia" w:asciiTheme="minorEastAsia" w:hAnsiTheme="minorEastAsia" w:eastAsiaTheme="minorEastAsia" w:cstheme="minorEastAsia"/>
          <w:color w:val="auto"/>
          <w:sz w:val="24"/>
          <w:szCs w:val="24"/>
          <w:highlight w:val="none"/>
          <w:lang w:val="en-US" w:eastAsia="zh-CN"/>
        </w:rPr>
        <w:t>6568.25</w:t>
      </w:r>
      <w:r>
        <w:rPr>
          <w:rFonts w:hint="eastAsia" w:asciiTheme="minorEastAsia" w:hAnsiTheme="minorEastAsia" w:eastAsiaTheme="minorEastAsia" w:cstheme="minorEastAsia"/>
          <w:color w:val="auto"/>
          <w:sz w:val="24"/>
          <w:szCs w:val="24"/>
          <w:highlight w:val="none"/>
        </w:rPr>
        <w:t>万元。</w:t>
      </w:r>
    </w:p>
    <w:tbl>
      <w:tblPr>
        <w:tblStyle w:val="8"/>
        <w:tblpPr w:leftFromText="180" w:rightFromText="180" w:vertAnchor="text" w:horzAnchor="page" w:tblpX="1877" w:tblpY="602"/>
        <w:tblOverlap w:val="never"/>
        <w:tblW w:w="89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851"/>
        <w:gridCol w:w="2835"/>
        <w:gridCol w:w="1984"/>
        <w:gridCol w:w="1701"/>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43" w:hRule="atLeast"/>
        </w:trPr>
        <w:tc>
          <w:tcPr>
            <w:tcW w:w="851" w:type="dxa"/>
            <w:shd w:val="clear" w:color="auto" w:fill="FFFFFF"/>
            <w:tcMar>
              <w:left w:w="108" w:type="dxa"/>
              <w:right w:w="108" w:type="dxa"/>
            </w:tcMar>
            <w:vAlign w:val="center"/>
          </w:tcPr>
          <w:p>
            <w:pPr>
              <w:widowControl/>
              <w:spacing w:line="440" w:lineRule="atLeast"/>
              <w:jc w:val="center"/>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序号</w:t>
            </w:r>
          </w:p>
        </w:tc>
        <w:tc>
          <w:tcPr>
            <w:tcW w:w="2835" w:type="dxa"/>
            <w:shd w:val="clear" w:color="auto" w:fill="FFFFFF"/>
            <w:vAlign w:val="center"/>
          </w:tcPr>
          <w:p>
            <w:pPr>
              <w:widowControl/>
              <w:spacing w:line="440" w:lineRule="atLeast"/>
              <w:jc w:val="center"/>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lang w:bidi="ar"/>
              </w:rPr>
              <w:t>支出项目</w:t>
            </w:r>
          </w:p>
        </w:tc>
        <w:tc>
          <w:tcPr>
            <w:tcW w:w="1984" w:type="dxa"/>
            <w:shd w:val="clear" w:color="auto" w:fill="FFFFFF"/>
            <w:tcMar>
              <w:left w:w="108" w:type="dxa"/>
              <w:right w:w="108" w:type="dxa"/>
            </w:tcMar>
            <w:vAlign w:val="center"/>
          </w:tcPr>
          <w:p>
            <w:pPr>
              <w:widowControl/>
              <w:spacing w:line="440" w:lineRule="atLeast"/>
              <w:jc w:val="center"/>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lang w:bidi="ar"/>
              </w:rPr>
              <w:t>2020年基本支出（万元）</w:t>
            </w:r>
          </w:p>
        </w:tc>
        <w:tc>
          <w:tcPr>
            <w:tcW w:w="1701" w:type="dxa"/>
            <w:shd w:val="clear" w:color="auto" w:fill="FFFFFF"/>
            <w:vAlign w:val="center"/>
          </w:tcPr>
          <w:p>
            <w:pPr>
              <w:widowControl/>
              <w:spacing w:line="440" w:lineRule="atLeast"/>
              <w:jc w:val="center"/>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lang w:bidi="ar"/>
              </w:rPr>
              <w:t>20</w:t>
            </w:r>
            <w:r>
              <w:rPr>
                <w:rFonts w:hint="eastAsia" w:asciiTheme="minorEastAsia" w:hAnsiTheme="minorEastAsia" w:eastAsiaTheme="minorEastAsia" w:cstheme="minorEastAsia"/>
                <w:b/>
                <w:color w:val="auto"/>
                <w:kern w:val="0"/>
                <w:sz w:val="21"/>
                <w:szCs w:val="21"/>
                <w:highlight w:val="none"/>
                <w:lang w:val="en-US" w:eastAsia="zh-CN" w:bidi="ar"/>
              </w:rPr>
              <w:t>21</w:t>
            </w:r>
            <w:r>
              <w:rPr>
                <w:rFonts w:hint="eastAsia" w:asciiTheme="minorEastAsia" w:hAnsiTheme="minorEastAsia" w:eastAsiaTheme="minorEastAsia" w:cstheme="minorEastAsia"/>
                <w:b/>
                <w:color w:val="auto"/>
                <w:kern w:val="0"/>
                <w:sz w:val="21"/>
                <w:szCs w:val="21"/>
                <w:highlight w:val="none"/>
                <w:lang w:bidi="ar"/>
              </w:rPr>
              <w:t>年基本支出（万元）</w:t>
            </w:r>
          </w:p>
        </w:tc>
        <w:tc>
          <w:tcPr>
            <w:tcW w:w="1560" w:type="dxa"/>
            <w:shd w:val="clear" w:color="auto" w:fill="FFFFFF"/>
            <w:vAlign w:val="center"/>
          </w:tcPr>
          <w:p>
            <w:pPr>
              <w:widowControl/>
              <w:spacing w:line="440" w:lineRule="atLeast"/>
              <w:jc w:val="center"/>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增减额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3" w:hRule="atLeast"/>
        </w:trPr>
        <w:tc>
          <w:tcPr>
            <w:tcW w:w="851" w:type="dxa"/>
            <w:shd w:val="clear" w:color="auto" w:fill="FFFFFF"/>
            <w:tcMar>
              <w:left w:w="108" w:type="dxa"/>
              <w:right w:w="108" w:type="dxa"/>
            </w:tcMar>
            <w:vAlign w:val="center"/>
          </w:tcPr>
          <w:p>
            <w:pPr>
              <w:widowControl/>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w:t>
            </w:r>
          </w:p>
        </w:tc>
        <w:tc>
          <w:tcPr>
            <w:tcW w:w="2835" w:type="dxa"/>
            <w:shd w:val="clear" w:color="auto" w:fill="FFFFFF"/>
            <w:vAlign w:val="center"/>
          </w:tcPr>
          <w:p>
            <w:pPr>
              <w:widowControl/>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工资福利支出</w:t>
            </w:r>
          </w:p>
        </w:tc>
        <w:tc>
          <w:tcPr>
            <w:tcW w:w="1984" w:type="dxa"/>
            <w:shd w:val="clear" w:color="auto" w:fill="FFFFFF"/>
            <w:tcMar>
              <w:left w:w="108" w:type="dxa"/>
              <w:right w:w="108" w:type="dxa"/>
            </w:tcMar>
            <w:vAlign w:val="center"/>
          </w:tcPr>
          <w:p>
            <w:pPr>
              <w:widowControl/>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sz w:val="21"/>
                <w:szCs w:val="21"/>
                <w:highlight w:val="none"/>
              </w:rPr>
              <w:t>1091.72</w:t>
            </w:r>
          </w:p>
        </w:tc>
        <w:tc>
          <w:tcPr>
            <w:tcW w:w="1701" w:type="dxa"/>
            <w:shd w:val="clear" w:color="auto" w:fill="FFFFFF"/>
            <w:vAlign w:val="center"/>
          </w:tcPr>
          <w:p>
            <w:pPr>
              <w:widowControl/>
              <w:jc w:val="center"/>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1097.82</w:t>
            </w:r>
          </w:p>
        </w:tc>
        <w:tc>
          <w:tcPr>
            <w:tcW w:w="1560" w:type="dxa"/>
            <w:shd w:val="clear" w:color="auto" w:fill="FFFFFF"/>
            <w:vAlign w:val="center"/>
          </w:tcPr>
          <w:p>
            <w:pPr>
              <w:widowControl/>
              <w:jc w:val="center"/>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6.10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43" w:hRule="atLeast"/>
        </w:trPr>
        <w:tc>
          <w:tcPr>
            <w:tcW w:w="851" w:type="dxa"/>
            <w:shd w:val="clear" w:color="auto" w:fill="FFFFFF"/>
            <w:tcMar>
              <w:left w:w="108" w:type="dxa"/>
              <w:right w:w="108" w:type="dxa"/>
            </w:tcMar>
            <w:vAlign w:val="center"/>
          </w:tcPr>
          <w:p>
            <w:pPr>
              <w:widowControl/>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2</w:t>
            </w:r>
          </w:p>
        </w:tc>
        <w:tc>
          <w:tcPr>
            <w:tcW w:w="2835" w:type="dxa"/>
            <w:shd w:val="clear" w:color="auto" w:fill="FFFFFF"/>
            <w:vAlign w:val="center"/>
          </w:tcPr>
          <w:p>
            <w:pPr>
              <w:widowControl/>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商品服务支出</w:t>
            </w:r>
          </w:p>
        </w:tc>
        <w:tc>
          <w:tcPr>
            <w:tcW w:w="1984" w:type="dxa"/>
            <w:shd w:val="clear" w:color="auto" w:fill="FFFFFF"/>
            <w:tcMar>
              <w:left w:w="108" w:type="dxa"/>
              <w:right w:w="108" w:type="dxa"/>
            </w:tcMar>
            <w:vAlign w:val="center"/>
          </w:tcPr>
          <w:p>
            <w:pPr>
              <w:widowControl/>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sz w:val="21"/>
                <w:szCs w:val="21"/>
                <w:highlight w:val="none"/>
              </w:rPr>
              <w:t>248.45</w:t>
            </w:r>
          </w:p>
        </w:tc>
        <w:tc>
          <w:tcPr>
            <w:tcW w:w="1701" w:type="dxa"/>
            <w:shd w:val="clear" w:color="auto" w:fill="FFFFFF"/>
            <w:vAlign w:val="center"/>
          </w:tcPr>
          <w:p>
            <w:pPr>
              <w:widowControl/>
              <w:jc w:val="center"/>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369.86</w:t>
            </w:r>
          </w:p>
        </w:tc>
        <w:tc>
          <w:tcPr>
            <w:tcW w:w="1560" w:type="dxa"/>
            <w:shd w:val="clear" w:color="auto" w:fill="FFFFFF"/>
            <w:vAlign w:val="center"/>
          </w:tcPr>
          <w:p>
            <w:pPr>
              <w:widowControl/>
              <w:jc w:val="center"/>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121.41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43" w:hRule="atLeast"/>
        </w:trPr>
        <w:tc>
          <w:tcPr>
            <w:tcW w:w="851" w:type="dxa"/>
            <w:shd w:val="clear" w:color="auto" w:fill="FFFFFF"/>
            <w:tcMar>
              <w:left w:w="108" w:type="dxa"/>
              <w:right w:w="108" w:type="dxa"/>
            </w:tcMar>
            <w:vAlign w:val="center"/>
          </w:tcPr>
          <w:p>
            <w:pPr>
              <w:widowControl/>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3</w:t>
            </w:r>
          </w:p>
        </w:tc>
        <w:tc>
          <w:tcPr>
            <w:tcW w:w="2835" w:type="dxa"/>
            <w:shd w:val="clear" w:color="auto" w:fill="FFFFFF"/>
            <w:vAlign w:val="center"/>
          </w:tcPr>
          <w:p>
            <w:pPr>
              <w:widowControl/>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对个人与家庭补助支出</w:t>
            </w:r>
          </w:p>
        </w:tc>
        <w:tc>
          <w:tcPr>
            <w:tcW w:w="1984" w:type="dxa"/>
            <w:shd w:val="clear" w:color="auto" w:fill="FFFFFF"/>
            <w:tcMar>
              <w:left w:w="108" w:type="dxa"/>
              <w:right w:w="108" w:type="dxa"/>
            </w:tcMar>
            <w:vAlign w:val="center"/>
          </w:tcPr>
          <w:p>
            <w:pPr>
              <w:widowControl/>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sz w:val="21"/>
                <w:szCs w:val="21"/>
                <w:highlight w:val="none"/>
              </w:rPr>
              <w:t>985.37</w:t>
            </w:r>
          </w:p>
        </w:tc>
        <w:tc>
          <w:tcPr>
            <w:tcW w:w="1701" w:type="dxa"/>
            <w:shd w:val="clear" w:color="auto" w:fill="FFFFFF"/>
            <w:vAlign w:val="center"/>
          </w:tcPr>
          <w:p>
            <w:pPr>
              <w:widowControl/>
              <w:jc w:val="center"/>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1022.14</w:t>
            </w:r>
          </w:p>
        </w:tc>
        <w:tc>
          <w:tcPr>
            <w:tcW w:w="1560" w:type="dxa"/>
            <w:shd w:val="clear" w:color="auto" w:fill="FFFFFF"/>
            <w:vAlign w:val="center"/>
          </w:tcPr>
          <w:p>
            <w:pPr>
              <w:widowControl/>
              <w:jc w:val="center"/>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36.77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43" w:hRule="atLeast"/>
        </w:trPr>
        <w:tc>
          <w:tcPr>
            <w:tcW w:w="851" w:type="dxa"/>
            <w:shd w:val="clear" w:color="auto" w:fill="FFFFFF"/>
            <w:tcMar>
              <w:left w:w="108" w:type="dxa"/>
              <w:right w:w="108" w:type="dxa"/>
            </w:tcMar>
            <w:vAlign w:val="center"/>
          </w:tcPr>
          <w:p>
            <w:pPr>
              <w:widowControl/>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4</w:t>
            </w:r>
          </w:p>
        </w:tc>
        <w:tc>
          <w:tcPr>
            <w:tcW w:w="2835" w:type="dxa"/>
            <w:shd w:val="clear" w:color="auto" w:fill="FFFFFF"/>
            <w:vAlign w:val="center"/>
          </w:tcPr>
          <w:p>
            <w:pPr>
              <w:widowControl/>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资本性支出</w:t>
            </w:r>
          </w:p>
        </w:tc>
        <w:tc>
          <w:tcPr>
            <w:tcW w:w="1984" w:type="dxa"/>
            <w:shd w:val="clear" w:color="auto" w:fill="FFFFFF"/>
            <w:tcMar>
              <w:left w:w="108" w:type="dxa"/>
              <w:right w:w="108" w:type="dxa"/>
            </w:tcMar>
            <w:vAlign w:val="center"/>
          </w:tcPr>
          <w:p>
            <w:pPr>
              <w:widowControl/>
              <w:tabs>
                <w:tab w:val="center" w:pos="944"/>
                <w:tab w:val="right" w:pos="1768"/>
              </w:tabs>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ab/>
            </w:r>
            <w:r>
              <w:rPr>
                <w:rFonts w:hint="eastAsia" w:asciiTheme="minorEastAsia" w:hAnsiTheme="minorEastAsia" w:eastAsiaTheme="minorEastAsia" w:cstheme="minorEastAsia"/>
                <w:color w:val="auto"/>
                <w:sz w:val="21"/>
                <w:szCs w:val="21"/>
                <w:highlight w:val="none"/>
              </w:rPr>
              <w:t>5.27</w:t>
            </w:r>
          </w:p>
        </w:tc>
        <w:tc>
          <w:tcPr>
            <w:tcW w:w="1701" w:type="dxa"/>
            <w:shd w:val="clear" w:color="auto" w:fill="FFFFFF"/>
            <w:vAlign w:val="center"/>
          </w:tcPr>
          <w:p>
            <w:pPr>
              <w:widowControl/>
              <w:jc w:val="center"/>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bidi="ar"/>
              </w:rPr>
              <w:t>0.28</w:t>
            </w:r>
          </w:p>
        </w:tc>
        <w:tc>
          <w:tcPr>
            <w:tcW w:w="1560" w:type="dxa"/>
            <w:shd w:val="clear" w:color="auto" w:fill="FFFFFF"/>
            <w:vAlign w:val="center"/>
          </w:tcPr>
          <w:p>
            <w:pPr>
              <w:widowControl/>
              <w:jc w:val="center"/>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-4.99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3" w:hRule="atLeast"/>
        </w:trPr>
        <w:tc>
          <w:tcPr>
            <w:tcW w:w="851" w:type="dxa"/>
            <w:shd w:val="clear" w:color="auto" w:fill="FFFFFF"/>
            <w:tcMar>
              <w:left w:w="108" w:type="dxa"/>
              <w:right w:w="108" w:type="dxa"/>
            </w:tcMar>
            <w:vAlign w:val="center"/>
          </w:tcPr>
          <w:p>
            <w:pPr>
              <w:widowControl/>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5</w:t>
            </w:r>
          </w:p>
        </w:tc>
        <w:tc>
          <w:tcPr>
            <w:tcW w:w="2835" w:type="dxa"/>
            <w:shd w:val="clear" w:color="auto" w:fill="FFFFFF"/>
            <w:vAlign w:val="center"/>
          </w:tcPr>
          <w:p>
            <w:pPr>
              <w:widowControl/>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sz w:val="21"/>
                <w:szCs w:val="21"/>
                <w:highlight w:val="none"/>
              </w:rPr>
              <w:t>对企业补助</w:t>
            </w:r>
          </w:p>
        </w:tc>
        <w:tc>
          <w:tcPr>
            <w:tcW w:w="1984" w:type="dxa"/>
            <w:shd w:val="clear" w:color="auto" w:fill="FFFFFF"/>
            <w:tcMar>
              <w:left w:w="108" w:type="dxa"/>
              <w:right w:w="108" w:type="dxa"/>
            </w:tcMar>
            <w:vAlign w:val="center"/>
          </w:tcPr>
          <w:p>
            <w:pPr>
              <w:widowControl/>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120．00</w:t>
            </w:r>
          </w:p>
        </w:tc>
        <w:tc>
          <w:tcPr>
            <w:tcW w:w="1701" w:type="dxa"/>
            <w:shd w:val="clear" w:color="auto" w:fill="FFFFFF"/>
            <w:vAlign w:val="center"/>
          </w:tcPr>
          <w:p>
            <w:pPr>
              <w:widowControl/>
              <w:jc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sz w:val="21"/>
                <w:szCs w:val="21"/>
                <w:highlight w:val="none"/>
                <w:lang w:val="en-US" w:eastAsia="zh-CN"/>
              </w:rPr>
              <w:t>0</w:t>
            </w:r>
          </w:p>
        </w:tc>
        <w:tc>
          <w:tcPr>
            <w:tcW w:w="1560" w:type="dxa"/>
            <w:shd w:val="clear" w:color="auto" w:fill="FFFFFF"/>
            <w:vAlign w:val="center"/>
          </w:tcPr>
          <w:p>
            <w:pPr>
              <w:widowControl/>
              <w:jc w:val="center"/>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-120.00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43" w:hRule="atLeast"/>
        </w:trPr>
        <w:tc>
          <w:tcPr>
            <w:tcW w:w="851" w:type="dxa"/>
            <w:shd w:val="clear" w:color="auto" w:fill="FFFFFF"/>
            <w:tcMar>
              <w:left w:w="108" w:type="dxa"/>
              <w:right w:w="108" w:type="dxa"/>
            </w:tcMar>
            <w:vAlign w:val="center"/>
          </w:tcPr>
          <w:p>
            <w:pPr>
              <w:widowControl/>
              <w:jc w:val="center"/>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5</w:t>
            </w:r>
          </w:p>
        </w:tc>
        <w:tc>
          <w:tcPr>
            <w:tcW w:w="2835" w:type="dxa"/>
            <w:shd w:val="clear" w:color="auto" w:fill="FFFFFF"/>
            <w:vAlign w:val="center"/>
          </w:tcPr>
          <w:p>
            <w:pPr>
              <w:widowControl/>
              <w:jc w:val="center"/>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合    计</w:t>
            </w:r>
          </w:p>
        </w:tc>
        <w:tc>
          <w:tcPr>
            <w:tcW w:w="1984" w:type="dxa"/>
            <w:shd w:val="clear" w:color="auto" w:fill="FFFFFF"/>
            <w:tcMar>
              <w:left w:w="108" w:type="dxa"/>
              <w:right w:w="108" w:type="dxa"/>
            </w:tcMar>
            <w:vAlign w:val="center"/>
          </w:tcPr>
          <w:p>
            <w:pPr>
              <w:widowControl/>
              <w:jc w:val="center"/>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bCs/>
                <w:color w:val="auto"/>
                <w:sz w:val="21"/>
                <w:szCs w:val="21"/>
                <w:highlight w:val="none"/>
              </w:rPr>
              <w:t>2450.81</w:t>
            </w:r>
          </w:p>
        </w:tc>
        <w:tc>
          <w:tcPr>
            <w:tcW w:w="1701" w:type="dxa"/>
            <w:shd w:val="clear" w:color="auto" w:fill="FFFFFF"/>
            <w:vAlign w:val="center"/>
          </w:tcPr>
          <w:p>
            <w:pPr>
              <w:widowControl/>
              <w:jc w:val="center"/>
              <w:rPr>
                <w:rFonts w:hint="default" w:asciiTheme="minorEastAsia" w:hAnsiTheme="minorEastAsia" w:eastAsiaTheme="minorEastAsia" w:cstheme="minorEastAsia"/>
                <w:b/>
                <w:color w:val="auto"/>
                <w:kern w:val="0"/>
                <w:sz w:val="21"/>
                <w:szCs w:val="21"/>
                <w:highlight w:val="none"/>
                <w:lang w:val="en-US" w:eastAsia="zh-CN"/>
              </w:rPr>
            </w:pPr>
            <w:r>
              <w:rPr>
                <w:rFonts w:hint="eastAsia" w:asciiTheme="minorEastAsia" w:hAnsiTheme="minorEastAsia" w:eastAsiaTheme="minorEastAsia" w:cstheme="minorEastAsia"/>
                <w:b/>
                <w:color w:val="auto"/>
                <w:sz w:val="21"/>
                <w:szCs w:val="21"/>
                <w:highlight w:val="none"/>
                <w:lang w:val="en-US" w:eastAsia="zh-CN"/>
              </w:rPr>
              <w:t>2490.10</w:t>
            </w:r>
          </w:p>
        </w:tc>
        <w:tc>
          <w:tcPr>
            <w:tcW w:w="1560" w:type="dxa"/>
            <w:shd w:val="clear" w:color="auto" w:fill="FFFFFF"/>
            <w:vAlign w:val="center"/>
          </w:tcPr>
          <w:p>
            <w:pPr>
              <w:widowControl/>
              <w:jc w:val="center"/>
              <w:rPr>
                <w:rFonts w:hint="default" w:asciiTheme="minorEastAsia" w:hAnsiTheme="minorEastAsia" w:eastAsiaTheme="minorEastAsia" w:cstheme="minorEastAsia"/>
                <w:b/>
                <w:color w:val="auto"/>
                <w:kern w:val="0"/>
                <w:sz w:val="21"/>
                <w:szCs w:val="21"/>
                <w:highlight w:val="none"/>
                <w:lang w:val="en-US" w:eastAsia="zh-CN"/>
              </w:rPr>
            </w:pPr>
            <w:r>
              <w:rPr>
                <w:rFonts w:hint="eastAsia" w:asciiTheme="minorEastAsia" w:hAnsiTheme="minorEastAsia" w:eastAsiaTheme="minorEastAsia" w:cstheme="minorEastAsia"/>
                <w:b/>
                <w:color w:val="auto"/>
                <w:kern w:val="0"/>
                <w:sz w:val="21"/>
                <w:szCs w:val="21"/>
                <w:highlight w:val="none"/>
                <w:lang w:val="en-US" w:eastAsia="zh-CN"/>
              </w:rPr>
              <w:t>39.29</w:t>
            </w:r>
          </w:p>
        </w:tc>
      </w:tr>
    </w:tbl>
    <w:p>
      <w:pPr>
        <w:spacing w:line="600" w:lineRule="exact"/>
        <w:ind w:firstLine="643"/>
        <w:rPr>
          <w:rFonts w:hint="eastAsia" w:asciiTheme="minorEastAsia" w:hAnsiTheme="minorEastAsia" w:eastAsiaTheme="minorEastAsia" w:cstheme="minorEastAsia"/>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before="183" w:beforeLines="50" w:line="240" w:lineRule="auto"/>
        <w:ind w:firstLine="482" w:firstLineChars="200"/>
        <w:textAlignment w:val="auto"/>
        <w:rPr>
          <w:rFonts w:hint="eastAsia" w:asciiTheme="minorEastAsia" w:hAnsiTheme="minorEastAsia" w:eastAsiaTheme="minorEastAsia" w:cstheme="minorEastAsia"/>
          <w:b/>
          <w:bCs/>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before="183" w:beforeLines="50" w:line="240" w:lineRule="auto"/>
        <w:ind w:firstLine="482" w:firstLineChars="200"/>
        <w:textAlignment w:val="auto"/>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w:t>
      </w:r>
      <w:r>
        <w:rPr>
          <w:rFonts w:hint="eastAsia" w:asciiTheme="minorEastAsia" w:hAnsiTheme="minorEastAsia" w:eastAsiaTheme="minorEastAsia" w:cstheme="minorEastAsia"/>
          <w:b/>
          <w:bCs/>
          <w:color w:val="auto"/>
          <w:sz w:val="24"/>
          <w:szCs w:val="24"/>
          <w:highlight w:val="none"/>
          <w:lang w:val="en-US" w:eastAsia="zh-CN"/>
        </w:rPr>
        <w:t>二</w:t>
      </w:r>
      <w:r>
        <w:rPr>
          <w:rFonts w:hint="eastAsia" w:asciiTheme="minorEastAsia" w:hAnsiTheme="minorEastAsia" w:eastAsiaTheme="minorEastAsia" w:cstheme="minorEastAsia"/>
          <w:b/>
          <w:bCs/>
          <w:color w:val="auto"/>
          <w:sz w:val="24"/>
          <w:szCs w:val="24"/>
          <w:highlight w:val="none"/>
        </w:rPr>
        <w:t>）项目支出情况</w:t>
      </w:r>
    </w:p>
    <w:p>
      <w:pPr>
        <w:spacing w:line="580" w:lineRule="exact"/>
        <w:ind w:firstLine="646"/>
        <w:rPr>
          <w:rFonts w:hint="default"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202</w:t>
      </w:r>
      <w:r>
        <w:rPr>
          <w:rFonts w:hint="eastAsia" w:asciiTheme="minorEastAsia" w:hAnsiTheme="minorEastAsia" w:eastAsiaTheme="minorEastAsia" w:cstheme="minorEastAsia"/>
          <w:color w:val="auto"/>
          <w:sz w:val="24"/>
          <w:szCs w:val="24"/>
          <w:highlight w:val="none"/>
          <w:lang w:val="en-US" w:eastAsia="zh-CN"/>
        </w:rPr>
        <w:t>1</w:t>
      </w:r>
      <w:r>
        <w:rPr>
          <w:rFonts w:hint="eastAsia" w:asciiTheme="minorEastAsia" w:hAnsiTheme="minorEastAsia" w:eastAsiaTheme="minorEastAsia" w:cstheme="minorEastAsia"/>
          <w:color w:val="auto"/>
          <w:sz w:val="24"/>
          <w:szCs w:val="24"/>
          <w:highlight w:val="none"/>
        </w:rPr>
        <w:t>年度本部门本级专项资金项目支出</w:t>
      </w:r>
      <w:r>
        <w:rPr>
          <w:rFonts w:hint="eastAsia" w:asciiTheme="minorEastAsia" w:hAnsiTheme="minorEastAsia" w:eastAsiaTheme="minorEastAsia" w:cstheme="minorEastAsia"/>
          <w:color w:val="auto"/>
          <w:sz w:val="24"/>
          <w:szCs w:val="24"/>
          <w:highlight w:val="none"/>
          <w:lang w:val="en-US" w:eastAsia="zh-CN"/>
        </w:rPr>
        <w:t>4078.15</w:t>
      </w:r>
      <w:r>
        <w:rPr>
          <w:rFonts w:hint="eastAsia" w:asciiTheme="minorEastAsia" w:hAnsiTheme="minorEastAsia" w:eastAsiaTheme="minorEastAsia" w:cstheme="minorEastAsia"/>
          <w:color w:val="auto"/>
          <w:sz w:val="24"/>
          <w:szCs w:val="24"/>
          <w:highlight w:val="none"/>
        </w:rPr>
        <w:t>万元，比20</w:t>
      </w:r>
      <w:r>
        <w:rPr>
          <w:rFonts w:hint="eastAsia" w:asciiTheme="minorEastAsia" w:hAnsiTheme="minorEastAsia" w:eastAsiaTheme="minorEastAsia" w:cstheme="minorEastAsia"/>
          <w:color w:val="auto"/>
          <w:sz w:val="24"/>
          <w:szCs w:val="24"/>
          <w:highlight w:val="none"/>
          <w:lang w:val="en-US" w:eastAsia="zh-CN"/>
        </w:rPr>
        <w:t>20</w:t>
      </w:r>
      <w:r>
        <w:rPr>
          <w:rFonts w:hint="eastAsia" w:asciiTheme="minorEastAsia" w:hAnsiTheme="minorEastAsia" w:eastAsiaTheme="minorEastAsia" w:cstheme="minorEastAsia"/>
          <w:color w:val="auto"/>
          <w:sz w:val="24"/>
          <w:szCs w:val="24"/>
          <w:highlight w:val="none"/>
        </w:rPr>
        <w:t>年项目支出5435.55万元</w:t>
      </w:r>
      <w:r>
        <w:rPr>
          <w:rFonts w:hint="eastAsia" w:asciiTheme="minorEastAsia" w:hAnsiTheme="minorEastAsia" w:eastAsiaTheme="minorEastAsia" w:cstheme="minorEastAsia"/>
          <w:color w:val="auto"/>
          <w:sz w:val="24"/>
          <w:szCs w:val="24"/>
          <w:highlight w:val="none"/>
          <w:lang w:val="en-US" w:eastAsia="zh-CN"/>
        </w:rPr>
        <w:t>减少1357.40</w:t>
      </w:r>
      <w:r>
        <w:rPr>
          <w:rFonts w:hint="eastAsia" w:asciiTheme="minorEastAsia" w:hAnsiTheme="minorEastAsia" w:eastAsiaTheme="minorEastAsia" w:cstheme="minorEastAsia"/>
          <w:color w:val="auto"/>
          <w:sz w:val="24"/>
          <w:szCs w:val="24"/>
          <w:highlight w:val="none"/>
        </w:rPr>
        <w:t>万元，</w:t>
      </w:r>
      <w:r>
        <w:rPr>
          <w:rFonts w:hint="eastAsia" w:asciiTheme="minorEastAsia" w:hAnsiTheme="minorEastAsia" w:eastAsiaTheme="minorEastAsia" w:cstheme="minorEastAsia"/>
          <w:color w:val="auto"/>
          <w:sz w:val="24"/>
          <w:szCs w:val="24"/>
          <w:highlight w:val="none"/>
          <w:lang w:val="en-US" w:eastAsia="zh-CN"/>
        </w:rPr>
        <w:t>降幅24.97</w:t>
      </w:r>
      <w:r>
        <w:rPr>
          <w:rFonts w:hint="eastAsia" w:asciiTheme="minorEastAsia" w:hAnsiTheme="minorEastAsia" w:eastAsiaTheme="minorEastAsia" w:cstheme="minorEastAsia"/>
          <w:color w:val="auto"/>
          <w:sz w:val="24"/>
          <w:szCs w:val="24"/>
          <w:highlight w:val="none"/>
        </w:rPr>
        <w:t xml:space="preserve">%； </w:t>
      </w:r>
    </w:p>
    <w:p>
      <w:pPr>
        <w:spacing w:line="580" w:lineRule="exact"/>
        <w:ind w:firstLine="646"/>
        <w:jc w:val="center"/>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20</w:t>
      </w:r>
      <w:r>
        <w:rPr>
          <w:rFonts w:hint="eastAsia" w:asciiTheme="minorEastAsia" w:hAnsiTheme="minorEastAsia" w:eastAsiaTheme="minorEastAsia" w:cstheme="minorEastAsia"/>
          <w:b/>
          <w:bCs/>
          <w:color w:val="auto"/>
          <w:sz w:val="24"/>
          <w:szCs w:val="24"/>
          <w:highlight w:val="none"/>
          <w:lang w:val="en-US" w:eastAsia="zh-CN"/>
        </w:rPr>
        <w:t>20</w:t>
      </w:r>
      <w:r>
        <w:rPr>
          <w:rFonts w:hint="eastAsia" w:asciiTheme="minorEastAsia" w:hAnsiTheme="minorEastAsia" w:eastAsiaTheme="minorEastAsia" w:cstheme="minorEastAsia"/>
          <w:b/>
          <w:bCs/>
          <w:color w:val="auto"/>
          <w:sz w:val="24"/>
          <w:szCs w:val="24"/>
          <w:highlight w:val="none"/>
        </w:rPr>
        <w:t>-202</w:t>
      </w:r>
      <w:r>
        <w:rPr>
          <w:rFonts w:hint="eastAsia" w:asciiTheme="minorEastAsia" w:hAnsiTheme="minorEastAsia" w:eastAsiaTheme="minorEastAsia" w:cstheme="minorEastAsia"/>
          <w:b/>
          <w:bCs/>
          <w:color w:val="auto"/>
          <w:sz w:val="24"/>
          <w:szCs w:val="24"/>
          <w:highlight w:val="none"/>
          <w:lang w:val="en-US" w:eastAsia="zh-CN"/>
        </w:rPr>
        <w:t>1</w:t>
      </w:r>
      <w:r>
        <w:rPr>
          <w:rFonts w:hint="eastAsia" w:asciiTheme="minorEastAsia" w:hAnsiTheme="minorEastAsia" w:eastAsiaTheme="minorEastAsia" w:cstheme="minorEastAsia"/>
          <w:b/>
          <w:bCs/>
          <w:color w:val="auto"/>
          <w:sz w:val="24"/>
          <w:szCs w:val="24"/>
          <w:highlight w:val="none"/>
        </w:rPr>
        <w:t>年项目支出对比表</w:t>
      </w:r>
    </w:p>
    <w:tbl>
      <w:tblPr>
        <w:tblStyle w:val="8"/>
        <w:tblW w:w="87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704"/>
        <w:gridCol w:w="2556"/>
        <w:gridCol w:w="1764"/>
        <w:gridCol w:w="1922"/>
        <w:gridCol w:w="18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33" w:hRule="atLeast"/>
          <w:jc w:val="center"/>
        </w:trPr>
        <w:tc>
          <w:tcPr>
            <w:tcW w:w="704" w:type="dxa"/>
            <w:shd w:val="clear" w:color="auto" w:fill="FFFFFF"/>
            <w:tcMar>
              <w:left w:w="108" w:type="dxa"/>
              <w:right w:w="108" w:type="dxa"/>
            </w:tcMar>
          </w:tcPr>
          <w:p>
            <w:pPr>
              <w:spacing w:line="440" w:lineRule="atLeast"/>
              <w:jc w:val="both"/>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序号</w:t>
            </w:r>
          </w:p>
        </w:tc>
        <w:tc>
          <w:tcPr>
            <w:tcW w:w="2556" w:type="dxa"/>
            <w:shd w:val="clear" w:color="auto" w:fill="FFFFFF"/>
          </w:tcPr>
          <w:p>
            <w:pPr>
              <w:spacing w:line="440" w:lineRule="atLeast"/>
              <w:jc w:val="center"/>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lang w:bidi="ar"/>
              </w:rPr>
              <w:t>支出项目</w:t>
            </w:r>
          </w:p>
        </w:tc>
        <w:tc>
          <w:tcPr>
            <w:tcW w:w="1764" w:type="dxa"/>
            <w:shd w:val="clear" w:color="auto" w:fill="FFFFFF"/>
            <w:tcMar>
              <w:left w:w="108" w:type="dxa"/>
              <w:right w:w="108" w:type="dxa"/>
            </w:tcMar>
          </w:tcPr>
          <w:p>
            <w:pPr>
              <w:spacing w:line="440" w:lineRule="atLeast"/>
              <w:jc w:val="center"/>
              <w:rPr>
                <w:rFonts w:hint="eastAsia" w:asciiTheme="minorEastAsia" w:hAnsiTheme="minorEastAsia" w:eastAsiaTheme="minorEastAsia" w:cstheme="minorEastAsia"/>
                <w:b/>
                <w:color w:val="auto"/>
                <w:sz w:val="21"/>
                <w:szCs w:val="21"/>
                <w:highlight w:val="none"/>
                <w:lang w:bidi="ar"/>
              </w:rPr>
            </w:pPr>
            <w:r>
              <w:rPr>
                <w:rFonts w:hint="eastAsia" w:asciiTheme="minorEastAsia" w:hAnsiTheme="minorEastAsia" w:eastAsiaTheme="minorEastAsia" w:cstheme="minorEastAsia"/>
                <w:b/>
                <w:color w:val="auto"/>
                <w:sz w:val="21"/>
                <w:szCs w:val="21"/>
                <w:highlight w:val="none"/>
                <w:lang w:bidi="ar"/>
              </w:rPr>
              <w:t>2020年项目支出（万元）</w:t>
            </w:r>
          </w:p>
        </w:tc>
        <w:tc>
          <w:tcPr>
            <w:tcW w:w="1922" w:type="dxa"/>
            <w:shd w:val="clear" w:color="auto" w:fill="FFFFFF"/>
          </w:tcPr>
          <w:p>
            <w:pPr>
              <w:spacing w:line="440" w:lineRule="atLeast"/>
              <w:jc w:val="center"/>
              <w:rPr>
                <w:rFonts w:hint="eastAsia" w:asciiTheme="minorEastAsia" w:hAnsiTheme="minorEastAsia" w:eastAsiaTheme="minorEastAsia" w:cstheme="minorEastAsia"/>
                <w:b/>
                <w:color w:val="auto"/>
                <w:sz w:val="21"/>
                <w:szCs w:val="21"/>
                <w:highlight w:val="none"/>
                <w:lang w:bidi="ar"/>
              </w:rPr>
            </w:pPr>
            <w:r>
              <w:rPr>
                <w:rFonts w:hint="eastAsia" w:asciiTheme="minorEastAsia" w:hAnsiTheme="minorEastAsia" w:eastAsiaTheme="minorEastAsia" w:cstheme="minorEastAsia"/>
                <w:b/>
                <w:color w:val="auto"/>
                <w:sz w:val="21"/>
                <w:szCs w:val="21"/>
                <w:highlight w:val="none"/>
                <w:lang w:bidi="ar"/>
              </w:rPr>
              <w:t>202</w:t>
            </w:r>
            <w:r>
              <w:rPr>
                <w:rFonts w:hint="eastAsia" w:asciiTheme="minorEastAsia" w:hAnsiTheme="minorEastAsia" w:eastAsiaTheme="minorEastAsia" w:cstheme="minorEastAsia"/>
                <w:b/>
                <w:color w:val="auto"/>
                <w:sz w:val="21"/>
                <w:szCs w:val="21"/>
                <w:highlight w:val="none"/>
                <w:lang w:val="en-US" w:eastAsia="zh-CN" w:bidi="ar"/>
              </w:rPr>
              <w:t>1</w:t>
            </w:r>
            <w:r>
              <w:rPr>
                <w:rFonts w:hint="eastAsia" w:asciiTheme="minorEastAsia" w:hAnsiTheme="minorEastAsia" w:eastAsiaTheme="minorEastAsia" w:cstheme="minorEastAsia"/>
                <w:b/>
                <w:color w:val="auto"/>
                <w:sz w:val="21"/>
                <w:szCs w:val="21"/>
                <w:highlight w:val="none"/>
                <w:lang w:bidi="ar"/>
              </w:rPr>
              <w:t>年项目支出</w:t>
            </w:r>
          </w:p>
          <w:p>
            <w:pPr>
              <w:spacing w:line="440" w:lineRule="atLeast"/>
              <w:jc w:val="center"/>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lang w:bidi="ar"/>
              </w:rPr>
              <w:t>（万元）</w:t>
            </w:r>
          </w:p>
        </w:tc>
        <w:tc>
          <w:tcPr>
            <w:tcW w:w="1801" w:type="dxa"/>
            <w:shd w:val="clear" w:color="auto" w:fill="FFFFFF"/>
          </w:tcPr>
          <w:p>
            <w:pPr>
              <w:spacing w:line="440" w:lineRule="atLeast"/>
              <w:jc w:val="center"/>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增减额</w:t>
            </w:r>
          </w:p>
          <w:p>
            <w:pPr>
              <w:spacing w:line="440" w:lineRule="atLeast"/>
              <w:jc w:val="center"/>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lang w:bidi="ar"/>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33" w:hRule="atLeast"/>
          <w:jc w:val="center"/>
        </w:trPr>
        <w:tc>
          <w:tcPr>
            <w:tcW w:w="704" w:type="dxa"/>
            <w:shd w:val="clear" w:color="auto" w:fill="FFFFFF"/>
            <w:tcMar>
              <w:left w:w="108" w:type="dxa"/>
              <w:right w:w="108" w:type="dxa"/>
            </w:tcMar>
          </w:tcPr>
          <w:p>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 1</w:t>
            </w:r>
          </w:p>
        </w:tc>
        <w:tc>
          <w:tcPr>
            <w:tcW w:w="2556" w:type="dxa"/>
            <w:shd w:val="clear" w:color="auto" w:fill="FFFFFF"/>
          </w:tcPr>
          <w:p>
            <w:pPr>
              <w:spacing w:line="440" w:lineRule="atLeast"/>
              <w:jc w:val="center"/>
              <w:rPr>
                <w:rFonts w:hint="eastAsia" w:asciiTheme="minorEastAsia" w:hAnsiTheme="minorEastAsia" w:eastAsiaTheme="minorEastAsia" w:cstheme="minorEastAsia"/>
                <w:color w:val="auto"/>
                <w:sz w:val="21"/>
                <w:szCs w:val="21"/>
                <w:highlight w:val="none"/>
                <w:lang w:bidi="ar"/>
              </w:rPr>
            </w:pPr>
            <w:r>
              <w:rPr>
                <w:rFonts w:hint="eastAsia" w:asciiTheme="minorEastAsia" w:hAnsiTheme="minorEastAsia" w:eastAsiaTheme="minorEastAsia" w:cstheme="minorEastAsia"/>
                <w:color w:val="auto"/>
                <w:sz w:val="21"/>
                <w:szCs w:val="21"/>
                <w:highlight w:val="none"/>
                <w:lang w:bidi="ar"/>
              </w:rPr>
              <w:t>工资福利支出</w:t>
            </w:r>
          </w:p>
        </w:tc>
        <w:tc>
          <w:tcPr>
            <w:tcW w:w="1764" w:type="dxa"/>
            <w:shd w:val="clear" w:color="auto" w:fill="FFFFFF"/>
            <w:tcMar>
              <w:left w:w="108" w:type="dxa"/>
              <w:right w:w="108" w:type="dxa"/>
            </w:tcMar>
            <w:vAlign w:val="top"/>
          </w:tcPr>
          <w:p>
            <w:pPr>
              <w:spacing w:line="440" w:lineRule="atLeast"/>
              <w:jc w:val="center"/>
              <w:rPr>
                <w:rFonts w:hint="eastAsia" w:asciiTheme="minorEastAsia" w:hAnsiTheme="minorEastAsia" w:eastAsiaTheme="minorEastAsia" w:cstheme="minorEastAsia"/>
                <w:color w:val="auto"/>
                <w:sz w:val="21"/>
                <w:szCs w:val="21"/>
                <w:highlight w:val="none"/>
                <w:lang w:bidi="ar"/>
              </w:rPr>
            </w:pPr>
            <w:r>
              <w:rPr>
                <w:rFonts w:hint="eastAsia" w:asciiTheme="minorEastAsia" w:hAnsiTheme="minorEastAsia" w:eastAsiaTheme="minorEastAsia" w:cstheme="minorEastAsia"/>
                <w:color w:val="auto"/>
                <w:sz w:val="21"/>
                <w:szCs w:val="21"/>
                <w:highlight w:val="none"/>
              </w:rPr>
              <w:t>91.79</w:t>
            </w:r>
          </w:p>
        </w:tc>
        <w:tc>
          <w:tcPr>
            <w:tcW w:w="1922" w:type="dxa"/>
            <w:shd w:val="clear" w:color="auto" w:fill="FFFFFF"/>
          </w:tcPr>
          <w:p>
            <w:pPr>
              <w:spacing w:line="440" w:lineRule="atLeast"/>
              <w:jc w:val="center"/>
              <w:rPr>
                <w:rFonts w:hint="default" w:asciiTheme="minorEastAsia" w:hAnsiTheme="minorEastAsia" w:eastAsiaTheme="minorEastAsia" w:cstheme="minorEastAsia"/>
                <w:color w:val="auto"/>
                <w:sz w:val="21"/>
                <w:szCs w:val="21"/>
                <w:highlight w:val="none"/>
                <w:lang w:val="en-US" w:eastAsia="zh-CN" w:bidi="ar"/>
              </w:rPr>
            </w:pPr>
            <w:r>
              <w:rPr>
                <w:rFonts w:hint="eastAsia" w:asciiTheme="minorEastAsia" w:hAnsiTheme="minorEastAsia" w:eastAsiaTheme="minorEastAsia" w:cstheme="minorEastAsia"/>
                <w:color w:val="auto"/>
                <w:sz w:val="21"/>
                <w:szCs w:val="21"/>
                <w:highlight w:val="none"/>
                <w:lang w:val="en-US" w:eastAsia="zh-CN"/>
              </w:rPr>
              <w:t>45.99</w:t>
            </w:r>
          </w:p>
        </w:tc>
        <w:tc>
          <w:tcPr>
            <w:tcW w:w="1801" w:type="dxa"/>
            <w:shd w:val="clear" w:color="auto" w:fill="FFFFFF"/>
          </w:tcPr>
          <w:p>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-45.80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3" w:hRule="atLeast"/>
          <w:jc w:val="center"/>
        </w:trPr>
        <w:tc>
          <w:tcPr>
            <w:tcW w:w="704" w:type="dxa"/>
            <w:shd w:val="clear" w:color="auto" w:fill="FFFFFF"/>
            <w:tcMar>
              <w:left w:w="108" w:type="dxa"/>
              <w:right w:w="108" w:type="dxa"/>
            </w:tcMar>
          </w:tcPr>
          <w:p>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w:t>
            </w:r>
          </w:p>
        </w:tc>
        <w:tc>
          <w:tcPr>
            <w:tcW w:w="2556" w:type="dxa"/>
            <w:shd w:val="clear" w:color="auto" w:fill="FFFFFF"/>
          </w:tcPr>
          <w:p>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商品服务支出</w:t>
            </w:r>
          </w:p>
        </w:tc>
        <w:tc>
          <w:tcPr>
            <w:tcW w:w="1764" w:type="dxa"/>
            <w:shd w:val="clear" w:color="auto" w:fill="FFFFFF"/>
            <w:tcMar>
              <w:left w:w="108" w:type="dxa"/>
              <w:right w:w="108" w:type="dxa"/>
            </w:tcMar>
            <w:vAlign w:val="top"/>
          </w:tcPr>
          <w:p>
            <w:pPr>
              <w:spacing w:line="440" w:lineRule="atLeast"/>
              <w:jc w:val="center"/>
              <w:rPr>
                <w:rFonts w:hint="eastAsia" w:asciiTheme="minorEastAsia" w:hAnsiTheme="minorEastAsia" w:eastAsiaTheme="minorEastAsia" w:cstheme="minorEastAsia"/>
                <w:color w:val="auto"/>
                <w:sz w:val="21"/>
                <w:szCs w:val="21"/>
                <w:highlight w:val="none"/>
                <w:lang w:bidi="ar"/>
              </w:rPr>
            </w:pPr>
            <w:r>
              <w:rPr>
                <w:rFonts w:hint="eastAsia" w:asciiTheme="minorEastAsia" w:hAnsiTheme="minorEastAsia" w:eastAsiaTheme="minorEastAsia" w:cstheme="minorEastAsia"/>
                <w:color w:val="auto"/>
                <w:sz w:val="21"/>
                <w:szCs w:val="21"/>
                <w:highlight w:val="none"/>
              </w:rPr>
              <w:t>2333.55</w:t>
            </w:r>
          </w:p>
        </w:tc>
        <w:tc>
          <w:tcPr>
            <w:tcW w:w="1922" w:type="dxa"/>
            <w:shd w:val="clear" w:color="auto" w:fill="FFFFFF"/>
          </w:tcPr>
          <w:p>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1651.88</w:t>
            </w:r>
          </w:p>
        </w:tc>
        <w:tc>
          <w:tcPr>
            <w:tcW w:w="1801" w:type="dxa"/>
            <w:shd w:val="clear" w:color="auto" w:fill="FFFFFF"/>
          </w:tcPr>
          <w:p>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-681.67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3" w:hRule="atLeast"/>
          <w:jc w:val="center"/>
        </w:trPr>
        <w:tc>
          <w:tcPr>
            <w:tcW w:w="704" w:type="dxa"/>
            <w:shd w:val="clear" w:color="auto" w:fill="FFFFFF"/>
            <w:tcMar>
              <w:left w:w="108" w:type="dxa"/>
              <w:right w:w="108" w:type="dxa"/>
            </w:tcMar>
          </w:tcPr>
          <w:p>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w:t>
            </w:r>
          </w:p>
        </w:tc>
        <w:tc>
          <w:tcPr>
            <w:tcW w:w="2556" w:type="dxa"/>
            <w:shd w:val="clear" w:color="auto" w:fill="FFFFFF"/>
          </w:tcPr>
          <w:p>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对个人和家庭的补助</w:t>
            </w:r>
          </w:p>
        </w:tc>
        <w:tc>
          <w:tcPr>
            <w:tcW w:w="1764" w:type="dxa"/>
            <w:shd w:val="clear" w:color="auto" w:fill="FFFFFF"/>
            <w:tcMar>
              <w:left w:w="108" w:type="dxa"/>
              <w:right w:w="108" w:type="dxa"/>
            </w:tcMar>
            <w:vAlign w:val="top"/>
          </w:tcPr>
          <w:p>
            <w:pPr>
              <w:spacing w:line="440" w:lineRule="atLeast"/>
              <w:jc w:val="center"/>
              <w:rPr>
                <w:rFonts w:hint="eastAsia" w:asciiTheme="minorEastAsia" w:hAnsiTheme="minorEastAsia" w:eastAsiaTheme="minorEastAsia" w:cstheme="minorEastAsia"/>
                <w:color w:val="auto"/>
                <w:sz w:val="21"/>
                <w:szCs w:val="21"/>
                <w:highlight w:val="none"/>
                <w:lang w:bidi="ar"/>
              </w:rPr>
            </w:pPr>
            <w:r>
              <w:rPr>
                <w:rFonts w:hint="eastAsia" w:asciiTheme="minorEastAsia" w:hAnsiTheme="minorEastAsia" w:eastAsiaTheme="minorEastAsia" w:cstheme="minorEastAsia"/>
                <w:color w:val="auto"/>
                <w:sz w:val="21"/>
                <w:szCs w:val="21"/>
                <w:highlight w:val="none"/>
              </w:rPr>
              <w:t>367.99</w:t>
            </w:r>
          </w:p>
        </w:tc>
        <w:tc>
          <w:tcPr>
            <w:tcW w:w="1922" w:type="dxa"/>
            <w:shd w:val="clear" w:color="auto" w:fill="FFFFFF"/>
          </w:tcPr>
          <w:p>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394.60</w:t>
            </w:r>
          </w:p>
        </w:tc>
        <w:tc>
          <w:tcPr>
            <w:tcW w:w="1801" w:type="dxa"/>
            <w:shd w:val="clear" w:color="auto" w:fill="FFFFFF"/>
          </w:tcPr>
          <w:p>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26.61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33" w:hRule="atLeast"/>
          <w:jc w:val="center"/>
        </w:trPr>
        <w:tc>
          <w:tcPr>
            <w:tcW w:w="704" w:type="dxa"/>
            <w:shd w:val="clear" w:color="auto" w:fill="FFFFFF"/>
            <w:tcMar>
              <w:left w:w="108" w:type="dxa"/>
              <w:right w:w="108" w:type="dxa"/>
            </w:tcMar>
          </w:tcPr>
          <w:p>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w:t>
            </w:r>
          </w:p>
        </w:tc>
        <w:tc>
          <w:tcPr>
            <w:tcW w:w="2556" w:type="dxa"/>
            <w:shd w:val="clear" w:color="auto" w:fill="FFFFFF"/>
          </w:tcPr>
          <w:p>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资本性支出</w:t>
            </w:r>
          </w:p>
        </w:tc>
        <w:tc>
          <w:tcPr>
            <w:tcW w:w="1764" w:type="dxa"/>
            <w:shd w:val="clear" w:color="auto" w:fill="FFFFFF"/>
            <w:tcMar>
              <w:left w:w="108" w:type="dxa"/>
              <w:right w:w="108" w:type="dxa"/>
            </w:tcMar>
            <w:vAlign w:val="top"/>
          </w:tcPr>
          <w:p>
            <w:pPr>
              <w:spacing w:line="440" w:lineRule="atLeast"/>
              <w:jc w:val="center"/>
              <w:rPr>
                <w:rFonts w:hint="eastAsia" w:asciiTheme="minorEastAsia" w:hAnsiTheme="minorEastAsia" w:eastAsiaTheme="minorEastAsia" w:cstheme="minorEastAsia"/>
                <w:color w:val="auto"/>
                <w:sz w:val="21"/>
                <w:szCs w:val="21"/>
                <w:highlight w:val="none"/>
                <w:lang w:bidi="ar"/>
              </w:rPr>
            </w:pPr>
            <w:r>
              <w:rPr>
                <w:rFonts w:hint="eastAsia" w:asciiTheme="minorEastAsia" w:hAnsiTheme="minorEastAsia" w:eastAsiaTheme="minorEastAsia" w:cstheme="minorEastAsia"/>
                <w:color w:val="auto"/>
                <w:sz w:val="21"/>
                <w:szCs w:val="21"/>
                <w:highlight w:val="none"/>
              </w:rPr>
              <w:t>58.47</w:t>
            </w:r>
          </w:p>
        </w:tc>
        <w:tc>
          <w:tcPr>
            <w:tcW w:w="1922" w:type="dxa"/>
            <w:shd w:val="clear" w:color="auto" w:fill="FFFFFF"/>
          </w:tcPr>
          <w:p>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2.68</w:t>
            </w:r>
          </w:p>
        </w:tc>
        <w:tc>
          <w:tcPr>
            <w:tcW w:w="1801" w:type="dxa"/>
            <w:shd w:val="clear" w:color="auto" w:fill="FFFFFF"/>
          </w:tcPr>
          <w:p>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-55.79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33" w:hRule="atLeast"/>
          <w:jc w:val="center"/>
        </w:trPr>
        <w:tc>
          <w:tcPr>
            <w:tcW w:w="704" w:type="dxa"/>
            <w:shd w:val="clear" w:color="auto" w:fill="FFFFFF"/>
            <w:tcMar>
              <w:left w:w="108" w:type="dxa"/>
              <w:right w:w="108" w:type="dxa"/>
            </w:tcMar>
          </w:tcPr>
          <w:p>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w:t>
            </w:r>
          </w:p>
        </w:tc>
        <w:tc>
          <w:tcPr>
            <w:tcW w:w="2556" w:type="dxa"/>
            <w:shd w:val="clear" w:color="auto" w:fill="FFFFFF"/>
          </w:tcPr>
          <w:p>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对企业补助</w:t>
            </w:r>
          </w:p>
        </w:tc>
        <w:tc>
          <w:tcPr>
            <w:tcW w:w="1764" w:type="dxa"/>
            <w:shd w:val="clear" w:color="auto" w:fill="FFFFFF"/>
            <w:tcMar>
              <w:left w:w="108" w:type="dxa"/>
              <w:right w:w="108" w:type="dxa"/>
            </w:tcMar>
            <w:vAlign w:val="top"/>
          </w:tcPr>
          <w:p>
            <w:pPr>
              <w:spacing w:line="440" w:lineRule="atLeast"/>
              <w:jc w:val="center"/>
              <w:rPr>
                <w:rFonts w:hint="eastAsia" w:asciiTheme="minorEastAsia" w:hAnsiTheme="minorEastAsia" w:eastAsiaTheme="minorEastAsia" w:cstheme="minorEastAsia"/>
                <w:color w:val="auto"/>
                <w:sz w:val="21"/>
                <w:szCs w:val="21"/>
                <w:highlight w:val="none"/>
                <w:lang w:bidi="ar"/>
              </w:rPr>
            </w:pPr>
            <w:r>
              <w:rPr>
                <w:rFonts w:hint="eastAsia" w:asciiTheme="minorEastAsia" w:hAnsiTheme="minorEastAsia" w:eastAsiaTheme="minorEastAsia" w:cstheme="minorEastAsia"/>
                <w:color w:val="auto"/>
                <w:sz w:val="21"/>
                <w:szCs w:val="21"/>
                <w:highlight w:val="none"/>
              </w:rPr>
              <w:t>2583.75</w:t>
            </w:r>
          </w:p>
        </w:tc>
        <w:tc>
          <w:tcPr>
            <w:tcW w:w="1922" w:type="dxa"/>
            <w:shd w:val="clear" w:color="auto" w:fill="FFFFFF"/>
          </w:tcPr>
          <w:p>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1982.99</w:t>
            </w:r>
          </w:p>
        </w:tc>
        <w:tc>
          <w:tcPr>
            <w:tcW w:w="1801" w:type="dxa"/>
            <w:shd w:val="clear" w:color="auto" w:fill="FFFFFF"/>
          </w:tcPr>
          <w:p>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-600.76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45" w:hRule="atLeast"/>
          <w:jc w:val="center"/>
        </w:trPr>
        <w:tc>
          <w:tcPr>
            <w:tcW w:w="704" w:type="dxa"/>
            <w:shd w:val="clear" w:color="auto" w:fill="FFFFFF"/>
            <w:tcMar>
              <w:left w:w="108" w:type="dxa"/>
              <w:right w:w="108" w:type="dxa"/>
            </w:tcMar>
          </w:tcPr>
          <w:p>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w:t>
            </w:r>
          </w:p>
        </w:tc>
        <w:tc>
          <w:tcPr>
            <w:tcW w:w="2556" w:type="dxa"/>
            <w:shd w:val="clear" w:color="auto" w:fill="FFFFFF"/>
          </w:tcPr>
          <w:p>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bidi="ar"/>
              </w:rPr>
              <w:t>合计</w:t>
            </w:r>
          </w:p>
        </w:tc>
        <w:tc>
          <w:tcPr>
            <w:tcW w:w="1764" w:type="dxa"/>
            <w:shd w:val="clear" w:color="auto" w:fill="FFFFFF"/>
            <w:tcMar>
              <w:left w:w="108" w:type="dxa"/>
              <w:right w:w="108" w:type="dxa"/>
            </w:tcMar>
            <w:vAlign w:val="top"/>
          </w:tcPr>
          <w:p>
            <w:pPr>
              <w:spacing w:line="440" w:lineRule="atLeast"/>
              <w:jc w:val="center"/>
              <w:rPr>
                <w:rFonts w:hint="eastAsia" w:asciiTheme="minorEastAsia" w:hAnsiTheme="minorEastAsia" w:eastAsiaTheme="minorEastAsia" w:cstheme="minorEastAsia"/>
                <w:color w:val="auto"/>
                <w:sz w:val="21"/>
                <w:szCs w:val="21"/>
                <w:highlight w:val="none"/>
                <w:lang w:bidi="ar"/>
              </w:rPr>
            </w:pPr>
            <w:r>
              <w:rPr>
                <w:rFonts w:hint="eastAsia" w:asciiTheme="minorEastAsia" w:hAnsiTheme="minorEastAsia" w:eastAsiaTheme="minorEastAsia" w:cstheme="minorEastAsia"/>
                <w:color w:val="auto"/>
                <w:sz w:val="21"/>
                <w:szCs w:val="21"/>
                <w:highlight w:val="none"/>
              </w:rPr>
              <w:t>5435.55</w:t>
            </w:r>
          </w:p>
        </w:tc>
        <w:tc>
          <w:tcPr>
            <w:tcW w:w="1922" w:type="dxa"/>
            <w:shd w:val="clear" w:color="auto" w:fill="FFFFFF"/>
          </w:tcPr>
          <w:p>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4078.15</w:t>
            </w:r>
          </w:p>
        </w:tc>
        <w:tc>
          <w:tcPr>
            <w:tcW w:w="1801" w:type="dxa"/>
            <w:shd w:val="clear" w:color="auto" w:fill="FFFFFF"/>
          </w:tcPr>
          <w:p>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-1357.40</w:t>
            </w:r>
          </w:p>
        </w:tc>
      </w:tr>
    </w:tbl>
    <w:p>
      <w:pPr>
        <w:spacing w:line="580" w:lineRule="exact"/>
        <w:ind w:firstLine="615"/>
        <w:jc w:val="center"/>
        <w:rPr>
          <w:rFonts w:hint="eastAsia" w:asciiTheme="minorEastAsia" w:hAnsiTheme="minorEastAsia" w:eastAsiaTheme="minorEastAsia" w:cstheme="minorEastAsia"/>
          <w:b/>
          <w:color w:val="auto"/>
          <w:sz w:val="24"/>
          <w:szCs w:val="24"/>
          <w:highlight w:val="none"/>
        </w:rPr>
      </w:pPr>
      <w:bookmarkStart w:id="8" w:name="_Hlk12731250"/>
      <w:r>
        <w:rPr>
          <w:rFonts w:hint="eastAsia" w:asciiTheme="minorEastAsia" w:hAnsiTheme="minorEastAsia" w:eastAsiaTheme="minorEastAsia" w:cstheme="minorEastAsia"/>
          <w:b/>
          <w:color w:val="auto"/>
          <w:sz w:val="24"/>
          <w:szCs w:val="24"/>
          <w:highlight w:val="none"/>
        </w:rPr>
        <w:t>20</w:t>
      </w:r>
      <w:r>
        <w:rPr>
          <w:rFonts w:hint="eastAsia" w:asciiTheme="minorEastAsia" w:hAnsiTheme="minorEastAsia" w:eastAsiaTheme="minorEastAsia" w:cstheme="minorEastAsia"/>
          <w:b/>
          <w:color w:val="auto"/>
          <w:sz w:val="24"/>
          <w:szCs w:val="24"/>
          <w:highlight w:val="none"/>
          <w:lang w:val="en-US" w:eastAsia="zh-CN"/>
        </w:rPr>
        <w:t>20</w:t>
      </w:r>
      <w:r>
        <w:rPr>
          <w:rFonts w:hint="eastAsia" w:asciiTheme="minorEastAsia" w:hAnsiTheme="minorEastAsia" w:eastAsiaTheme="minorEastAsia" w:cstheme="minorEastAsia"/>
          <w:b/>
          <w:color w:val="auto"/>
          <w:sz w:val="24"/>
          <w:szCs w:val="24"/>
          <w:highlight w:val="none"/>
        </w:rPr>
        <w:t>年与202</w:t>
      </w:r>
      <w:r>
        <w:rPr>
          <w:rFonts w:hint="eastAsia" w:asciiTheme="minorEastAsia" w:hAnsiTheme="minorEastAsia" w:eastAsiaTheme="minorEastAsia" w:cstheme="minorEastAsia"/>
          <w:b/>
          <w:color w:val="auto"/>
          <w:sz w:val="24"/>
          <w:szCs w:val="24"/>
          <w:highlight w:val="none"/>
          <w:lang w:val="en-US" w:eastAsia="zh-CN"/>
        </w:rPr>
        <w:t>1</w:t>
      </w:r>
      <w:r>
        <w:rPr>
          <w:rFonts w:hint="eastAsia" w:asciiTheme="minorEastAsia" w:hAnsiTheme="minorEastAsia" w:eastAsiaTheme="minorEastAsia" w:cstheme="minorEastAsia"/>
          <w:b/>
          <w:bCs/>
          <w:color w:val="auto"/>
          <w:sz w:val="24"/>
          <w:szCs w:val="24"/>
          <w:highlight w:val="none"/>
        </w:rPr>
        <w:t>项目支出明细</w:t>
      </w:r>
      <w:r>
        <w:rPr>
          <w:rFonts w:hint="eastAsia" w:asciiTheme="minorEastAsia" w:hAnsiTheme="minorEastAsia" w:eastAsiaTheme="minorEastAsia" w:cstheme="minorEastAsia"/>
          <w:b/>
          <w:color w:val="auto"/>
          <w:sz w:val="24"/>
          <w:szCs w:val="24"/>
          <w:highlight w:val="none"/>
        </w:rPr>
        <w:t>对比情况表</w:t>
      </w:r>
    </w:p>
    <w:p>
      <w:pPr>
        <w:spacing w:line="580" w:lineRule="exact"/>
        <w:ind w:right="480" w:firstLine="615"/>
        <w:jc w:val="right"/>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单位：万元</w:t>
      </w:r>
    </w:p>
    <w:tbl>
      <w:tblPr>
        <w:tblStyle w:val="9"/>
        <w:tblW w:w="8870" w:type="dxa"/>
        <w:tblInd w:w="405"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01"/>
        <w:gridCol w:w="2849"/>
        <w:gridCol w:w="1595"/>
        <w:gridCol w:w="1701"/>
        <w:gridCol w:w="1924"/>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0" w:hRule="atLeast"/>
        </w:trPr>
        <w:tc>
          <w:tcPr>
            <w:tcW w:w="80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序号</w:t>
            </w:r>
          </w:p>
        </w:tc>
        <w:tc>
          <w:tcPr>
            <w:tcW w:w="284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项目</w:t>
            </w:r>
          </w:p>
        </w:tc>
        <w:tc>
          <w:tcPr>
            <w:tcW w:w="5220" w:type="dxa"/>
            <w:gridSpan w:val="3"/>
            <w:tcBorders>
              <w:top w:val="single" w:color="auto" w:sz="4" w:space="0"/>
              <w:left w:val="nil"/>
              <w:bottom w:val="single" w:color="auto" w:sz="4" w:space="0"/>
              <w:right w:val="single" w:color="auto" w:sz="4" w:space="0"/>
            </w:tcBorders>
            <w:shd w:val="clear" w:color="auto" w:fill="auto"/>
            <w:vAlign w:val="center"/>
          </w:tcPr>
          <w:p>
            <w:pPr>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实际支出金额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4" w:hRule="atLeast"/>
        </w:trPr>
        <w:tc>
          <w:tcPr>
            <w:tcW w:w="801" w:type="dxa"/>
            <w:vMerge w:val="continue"/>
          </w:tcPr>
          <w:p>
            <w:pPr>
              <w:spacing w:line="580" w:lineRule="exact"/>
              <w:rPr>
                <w:rFonts w:hint="eastAsia" w:asciiTheme="minorEastAsia" w:hAnsiTheme="minorEastAsia" w:eastAsiaTheme="minorEastAsia" w:cstheme="minorEastAsia"/>
                <w:b/>
                <w:bCs/>
                <w:color w:val="auto"/>
                <w:sz w:val="21"/>
                <w:szCs w:val="21"/>
                <w:highlight w:val="none"/>
              </w:rPr>
            </w:pPr>
          </w:p>
        </w:tc>
        <w:tc>
          <w:tcPr>
            <w:tcW w:w="2849" w:type="dxa"/>
            <w:vMerge w:val="continue"/>
          </w:tcPr>
          <w:p>
            <w:pPr>
              <w:spacing w:line="580" w:lineRule="exact"/>
              <w:rPr>
                <w:rFonts w:hint="eastAsia" w:asciiTheme="minorEastAsia" w:hAnsiTheme="minorEastAsia" w:eastAsiaTheme="minorEastAsia" w:cstheme="minorEastAsia"/>
                <w:b/>
                <w:bCs/>
                <w:color w:val="auto"/>
                <w:sz w:val="21"/>
                <w:szCs w:val="21"/>
                <w:highlight w:val="none"/>
              </w:rPr>
            </w:pPr>
          </w:p>
        </w:tc>
        <w:tc>
          <w:tcPr>
            <w:tcW w:w="1595" w:type="dxa"/>
            <w:vAlign w:val="top"/>
          </w:tcPr>
          <w:p>
            <w:pPr>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2020年</w:t>
            </w:r>
          </w:p>
        </w:tc>
        <w:tc>
          <w:tcPr>
            <w:tcW w:w="1701" w:type="dxa"/>
          </w:tcPr>
          <w:p>
            <w:pPr>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202</w:t>
            </w:r>
            <w:r>
              <w:rPr>
                <w:rFonts w:hint="eastAsia" w:asciiTheme="minorEastAsia" w:hAnsiTheme="minorEastAsia" w:eastAsiaTheme="minorEastAsia" w:cstheme="minorEastAsia"/>
                <w:b/>
                <w:bCs/>
                <w:color w:val="auto"/>
                <w:sz w:val="21"/>
                <w:szCs w:val="21"/>
                <w:highlight w:val="none"/>
                <w:lang w:val="en-US" w:eastAsia="zh-CN"/>
              </w:rPr>
              <w:t>1</w:t>
            </w:r>
            <w:r>
              <w:rPr>
                <w:rFonts w:hint="eastAsia" w:asciiTheme="minorEastAsia" w:hAnsiTheme="minorEastAsia" w:eastAsiaTheme="minorEastAsia" w:cstheme="minorEastAsia"/>
                <w:b/>
                <w:bCs/>
                <w:color w:val="auto"/>
                <w:sz w:val="21"/>
                <w:szCs w:val="21"/>
                <w:highlight w:val="none"/>
              </w:rPr>
              <w:t>年</w:t>
            </w:r>
          </w:p>
        </w:tc>
        <w:tc>
          <w:tcPr>
            <w:tcW w:w="1924" w:type="dxa"/>
          </w:tcPr>
          <w:p>
            <w:pPr>
              <w:ind w:right="8" w:rightChars="4"/>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决算增减情况</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4" w:hRule="atLeast"/>
        </w:trPr>
        <w:tc>
          <w:tcPr>
            <w:tcW w:w="801" w:type="dxa"/>
          </w:tcPr>
          <w:p>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w:t>
            </w:r>
          </w:p>
        </w:tc>
        <w:tc>
          <w:tcPr>
            <w:tcW w:w="2849" w:type="dxa"/>
          </w:tcPr>
          <w:p>
            <w:pPr>
              <w:spacing w:line="440" w:lineRule="atLeast"/>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职工基本</w:t>
            </w:r>
            <w:r>
              <w:rPr>
                <w:rFonts w:hint="eastAsia" w:asciiTheme="minorEastAsia" w:hAnsiTheme="minorEastAsia" w:eastAsiaTheme="minorEastAsia" w:cstheme="minorEastAsia"/>
                <w:color w:val="auto"/>
                <w:sz w:val="21"/>
                <w:szCs w:val="21"/>
                <w:highlight w:val="none"/>
                <w:lang w:val="en-US" w:eastAsia="zh-CN"/>
              </w:rPr>
              <w:t>养老</w:t>
            </w:r>
            <w:r>
              <w:rPr>
                <w:rFonts w:hint="eastAsia" w:asciiTheme="minorEastAsia" w:hAnsiTheme="minorEastAsia" w:eastAsiaTheme="minorEastAsia" w:cstheme="minorEastAsia"/>
                <w:color w:val="auto"/>
                <w:sz w:val="21"/>
                <w:szCs w:val="21"/>
                <w:highlight w:val="none"/>
              </w:rPr>
              <w:t>保险</w:t>
            </w:r>
          </w:p>
        </w:tc>
        <w:tc>
          <w:tcPr>
            <w:tcW w:w="1595" w:type="dxa"/>
            <w:vAlign w:val="top"/>
          </w:tcPr>
          <w:p>
            <w:pPr>
              <w:spacing w:line="440" w:lineRule="atLeast"/>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c>
          <w:tcPr>
            <w:tcW w:w="1701" w:type="dxa"/>
          </w:tcPr>
          <w:p>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0.24</w:t>
            </w:r>
          </w:p>
        </w:tc>
        <w:tc>
          <w:tcPr>
            <w:tcW w:w="1924" w:type="dxa"/>
          </w:tcPr>
          <w:p>
            <w:pPr>
              <w:spacing w:line="440" w:lineRule="atLeast"/>
              <w:ind w:right="8" w:rightChars="4"/>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0.24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4" w:hRule="atLeast"/>
        </w:trPr>
        <w:tc>
          <w:tcPr>
            <w:tcW w:w="801" w:type="dxa"/>
          </w:tcPr>
          <w:p>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w:t>
            </w:r>
          </w:p>
        </w:tc>
        <w:tc>
          <w:tcPr>
            <w:tcW w:w="2849" w:type="dxa"/>
            <w:vAlign w:val="top"/>
          </w:tcPr>
          <w:p>
            <w:pPr>
              <w:spacing w:line="440" w:lineRule="atLeast"/>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职工基本医疗保险</w:t>
            </w:r>
          </w:p>
        </w:tc>
        <w:tc>
          <w:tcPr>
            <w:tcW w:w="1595" w:type="dxa"/>
            <w:vAlign w:val="top"/>
          </w:tcPr>
          <w:p>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81.93</w:t>
            </w:r>
          </w:p>
        </w:tc>
        <w:tc>
          <w:tcPr>
            <w:tcW w:w="1701" w:type="dxa"/>
            <w:vAlign w:val="top"/>
          </w:tcPr>
          <w:p>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38.44</w:t>
            </w:r>
          </w:p>
        </w:tc>
        <w:tc>
          <w:tcPr>
            <w:tcW w:w="1924" w:type="dxa"/>
          </w:tcPr>
          <w:p>
            <w:pPr>
              <w:spacing w:line="440" w:lineRule="atLeast"/>
              <w:ind w:right="8" w:rightChars="4"/>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w:t>
            </w:r>
            <w:r>
              <w:rPr>
                <w:rFonts w:hint="eastAsia" w:asciiTheme="minorEastAsia" w:hAnsiTheme="minorEastAsia" w:eastAsiaTheme="minorEastAsia" w:cstheme="minorEastAsia"/>
                <w:color w:val="auto"/>
                <w:sz w:val="21"/>
                <w:szCs w:val="21"/>
                <w:highlight w:val="none"/>
                <w:lang w:val="en-US" w:eastAsia="zh-CN"/>
              </w:rPr>
              <w:t>43.49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9" w:hRule="atLeast"/>
        </w:trPr>
        <w:tc>
          <w:tcPr>
            <w:tcW w:w="801" w:type="dxa"/>
          </w:tcPr>
          <w:p>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w:t>
            </w:r>
          </w:p>
        </w:tc>
        <w:tc>
          <w:tcPr>
            <w:tcW w:w="2849" w:type="dxa"/>
            <w:vAlign w:val="top"/>
          </w:tcPr>
          <w:p>
            <w:pPr>
              <w:spacing w:line="440" w:lineRule="atLeast"/>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住房公积金</w:t>
            </w:r>
          </w:p>
        </w:tc>
        <w:tc>
          <w:tcPr>
            <w:tcW w:w="1595" w:type="dxa"/>
            <w:vAlign w:val="top"/>
          </w:tcPr>
          <w:p>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9.86</w:t>
            </w:r>
          </w:p>
        </w:tc>
        <w:tc>
          <w:tcPr>
            <w:tcW w:w="1701" w:type="dxa"/>
            <w:vAlign w:val="top"/>
          </w:tcPr>
          <w:p>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7.31</w:t>
            </w:r>
          </w:p>
        </w:tc>
        <w:tc>
          <w:tcPr>
            <w:tcW w:w="1924" w:type="dxa"/>
          </w:tcPr>
          <w:p>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w:t>
            </w:r>
            <w:r>
              <w:rPr>
                <w:rFonts w:hint="eastAsia" w:asciiTheme="minorEastAsia" w:hAnsiTheme="minorEastAsia" w:eastAsiaTheme="minorEastAsia" w:cstheme="minorEastAsia"/>
                <w:color w:val="auto"/>
                <w:sz w:val="21"/>
                <w:szCs w:val="21"/>
                <w:highlight w:val="none"/>
                <w:lang w:val="en-US" w:eastAsia="zh-CN"/>
              </w:rPr>
              <w:t>2.55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9" w:hRule="atLeast"/>
        </w:trPr>
        <w:tc>
          <w:tcPr>
            <w:tcW w:w="801" w:type="dxa"/>
          </w:tcPr>
          <w:p>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w:t>
            </w:r>
          </w:p>
        </w:tc>
        <w:tc>
          <w:tcPr>
            <w:tcW w:w="2849" w:type="dxa"/>
            <w:vAlign w:val="top"/>
          </w:tcPr>
          <w:p>
            <w:pPr>
              <w:spacing w:line="440" w:lineRule="atLeast"/>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Cs/>
                <w:color w:val="auto"/>
                <w:sz w:val="21"/>
                <w:szCs w:val="21"/>
                <w:highlight w:val="none"/>
              </w:rPr>
              <w:t>办公费</w:t>
            </w:r>
          </w:p>
        </w:tc>
        <w:tc>
          <w:tcPr>
            <w:tcW w:w="1595" w:type="dxa"/>
            <w:vAlign w:val="top"/>
          </w:tcPr>
          <w:p>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20.65</w:t>
            </w:r>
          </w:p>
        </w:tc>
        <w:tc>
          <w:tcPr>
            <w:tcW w:w="1701" w:type="dxa"/>
            <w:vAlign w:val="top"/>
          </w:tcPr>
          <w:p>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4.53</w:t>
            </w:r>
          </w:p>
        </w:tc>
        <w:tc>
          <w:tcPr>
            <w:tcW w:w="1924" w:type="dxa"/>
          </w:tcPr>
          <w:p>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-16.12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8" w:hRule="atLeast"/>
        </w:trPr>
        <w:tc>
          <w:tcPr>
            <w:tcW w:w="801" w:type="dxa"/>
          </w:tcPr>
          <w:p>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w:t>
            </w:r>
          </w:p>
        </w:tc>
        <w:tc>
          <w:tcPr>
            <w:tcW w:w="2849" w:type="dxa"/>
            <w:vAlign w:val="top"/>
          </w:tcPr>
          <w:p>
            <w:pPr>
              <w:spacing w:line="440" w:lineRule="atLeast"/>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Cs/>
                <w:color w:val="auto"/>
                <w:sz w:val="21"/>
                <w:szCs w:val="21"/>
                <w:highlight w:val="none"/>
              </w:rPr>
              <w:t>印刷费</w:t>
            </w:r>
          </w:p>
        </w:tc>
        <w:tc>
          <w:tcPr>
            <w:tcW w:w="1595" w:type="dxa"/>
            <w:vAlign w:val="top"/>
          </w:tcPr>
          <w:p>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16.60</w:t>
            </w:r>
          </w:p>
        </w:tc>
        <w:tc>
          <w:tcPr>
            <w:tcW w:w="1701" w:type="dxa"/>
            <w:vAlign w:val="top"/>
          </w:tcPr>
          <w:p>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8.77</w:t>
            </w:r>
          </w:p>
        </w:tc>
        <w:tc>
          <w:tcPr>
            <w:tcW w:w="1924" w:type="dxa"/>
          </w:tcPr>
          <w:p>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w:t>
            </w:r>
            <w:r>
              <w:rPr>
                <w:rFonts w:hint="eastAsia" w:asciiTheme="minorEastAsia" w:hAnsiTheme="minorEastAsia" w:eastAsiaTheme="minorEastAsia" w:cstheme="minorEastAsia"/>
                <w:color w:val="auto"/>
                <w:sz w:val="21"/>
                <w:szCs w:val="21"/>
                <w:highlight w:val="none"/>
                <w:lang w:val="en-US" w:eastAsia="zh-CN"/>
              </w:rPr>
              <w:t>7.83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8" w:hRule="atLeast"/>
        </w:trPr>
        <w:tc>
          <w:tcPr>
            <w:tcW w:w="801" w:type="dxa"/>
          </w:tcPr>
          <w:p>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6</w:t>
            </w:r>
          </w:p>
        </w:tc>
        <w:tc>
          <w:tcPr>
            <w:tcW w:w="2849" w:type="dxa"/>
          </w:tcPr>
          <w:p>
            <w:pPr>
              <w:spacing w:line="440" w:lineRule="atLeast"/>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水费</w:t>
            </w:r>
          </w:p>
        </w:tc>
        <w:tc>
          <w:tcPr>
            <w:tcW w:w="1595" w:type="dxa"/>
            <w:vAlign w:val="top"/>
          </w:tcPr>
          <w:p>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5.30</w:t>
            </w:r>
          </w:p>
        </w:tc>
        <w:tc>
          <w:tcPr>
            <w:tcW w:w="1701" w:type="dxa"/>
          </w:tcPr>
          <w:p>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3.61</w:t>
            </w:r>
          </w:p>
        </w:tc>
        <w:tc>
          <w:tcPr>
            <w:tcW w:w="1924" w:type="dxa"/>
          </w:tcPr>
          <w:p>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-1.69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8" w:hRule="atLeast"/>
        </w:trPr>
        <w:tc>
          <w:tcPr>
            <w:tcW w:w="801" w:type="dxa"/>
          </w:tcPr>
          <w:p>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7</w:t>
            </w:r>
          </w:p>
        </w:tc>
        <w:tc>
          <w:tcPr>
            <w:tcW w:w="2849" w:type="dxa"/>
          </w:tcPr>
          <w:p>
            <w:pPr>
              <w:spacing w:line="440" w:lineRule="atLeast"/>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电费</w:t>
            </w:r>
          </w:p>
        </w:tc>
        <w:tc>
          <w:tcPr>
            <w:tcW w:w="1595" w:type="dxa"/>
            <w:vAlign w:val="top"/>
          </w:tcPr>
          <w:p>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3.26</w:t>
            </w:r>
          </w:p>
        </w:tc>
        <w:tc>
          <w:tcPr>
            <w:tcW w:w="1701" w:type="dxa"/>
          </w:tcPr>
          <w:p>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3.24</w:t>
            </w:r>
          </w:p>
        </w:tc>
        <w:tc>
          <w:tcPr>
            <w:tcW w:w="1924" w:type="dxa"/>
          </w:tcPr>
          <w:p>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-0.02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8" w:hRule="atLeast"/>
        </w:trPr>
        <w:tc>
          <w:tcPr>
            <w:tcW w:w="801" w:type="dxa"/>
          </w:tcPr>
          <w:p>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8</w:t>
            </w:r>
          </w:p>
        </w:tc>
        <w:tc>
          <w:tcPr>
            <w:tcW w:w="2849" w:type="dxa"/>
          </w:tcPr>
          <w:p>
            <w:pPr>
              <w:spacing w:line="440" w:lineRule="atLeast"/>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邮电费</w:t>
            </w:r>
          </w:p>
        </w:tc>
        <w:tc>
          <w:tcPr>
            <w:tcW w:w="1595" w:type="dxa"/>
            <w:vAlign w:val="top"/>
          </w:tcPr>
          <w:p>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2.15</w:t>
            </w:r>
          </w:p>
        </w:tc>
        <w:tc>
          <w:tcPr>
            <w:tcW w:w="1701" w:type="dxa"/>
          </w:tcPr>
          <w:p>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0.82</w:t>
            </w:r>
          </w:p>
        </w:tc>
        <w:tc>
          <w:tcPr>
            <w:tcW w:w="1924" w:type="dxa"/>
          </w:tcPr>
          <w:p>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-1.33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8" w:hRule="atLeast"/>
        </w:trPr>
        <w:tc>
          <w:tcPr>
            <w:tcW w:w="801" w:type="dxa"/>
          </w:tcPr>
          <w:p>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w:t>
            </w:r>
          </w:p>
        </w:tc>
        <w:tc>
          <w:tcPr>
            <w:tcW w:w="2849" w:type="dxa"/>
          </w:tcPr>
          <w:p>
            <w:pPr>
              <w:spacing w:line="440" w:lineRule="atLeast"/>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物业管理费</w:t>
            </w:r>
          </w:p>
        </w:tc>
        <w:tc>
          <w:tcPr>
            <w:tcW w:w="1595" w:type="dxa"/>
            <w:vAlign w:val="top"/>
          </w:tcPr>
          <w:p>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0</w:t>
            </w:r>
          </w:p>
        </w:tc>
        <w:tc>
          <w:tcPr>
            <w:tcW w:w="1701" w:type="dxa"/>
          </w:tcPr>
          <w:p>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0</w:t>
            </w:r>
          </w:p>
        </w:tc>
        <w:tc>
          <w:tcPr>
            <w:tcW w:w="1924" w:type="dxa"/>
          </w:tcPr>
          <w:p>
            <w:pPr>
              <w:spacing w:line="440" w:lineRule="atLeast"/>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val="en-US" w:eastAsia="zh-CN"/>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8" w:hRule="atLeast"/>
        </w:trPr>
        <w:tc>
          <w:tcPr>
            <w:tcW w:w="801" w:type="dxa"/>
          </w:tcPr>
          <w:p>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10</w:t>
            </w:r>
          </w:p>
        </w:tc>
        <w:tc>
          <w:tcPr>
            <w:tcW w:w="2849" w:type="dxa"/>
          </w:tcPr>
          <w:p>
            <w:pPr>
              <w:spacing w:line="440" w:lineRule="atLeast"/>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差旅费</w:t>
            </w:r>
          </w:p>
        </w:tc>
        <w:tc>
          <w:tcPr>
            <w:tcW w:w="1595" w:type="dxa"/>
            <w:vAlign w:val="top"/>
          </w:tcPr>
          <w:p>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40.24</w:t>
            </w:r>
          </w:p>
        </w:tc>
        <w:tc>
          <w:tcPr>
            <w:tcW w:w="1701" w:type="dxa"/>
          </w:tcPr>
          <w:p>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45.77</w:t>
            </w:r>
          </w:p>
        </w:tc>
        <w:tc>
          <w:tcPr>
            <w:tcW w:w="1924" w:type="dxa"/>
          </w:tcPr>
          <w:p>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5.53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8" w:hRule="atLeast"/>
        </w:trPr>
        <w:tc>
          <w:tcPr>
            <w:tcW w:w="801" w:type="dxa"/>
          </w:tcPr>
          <w:p>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w:t>
            </w:r>
          </w:p>
        </w:tc>
        <w:tc>
          <w:tcPr>
            <w:tcW w:w="2849" w:type="dxa"/>
          </w:tcPr>
          <w:p>
            <w:pPr>
              <w:spacing w:line="440" w:lineRule="atLeast"/>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因公出国费用</w:t>
            </w:r>
          </w:p>
        </w:tc>
        <w:tc>
          <w:tcPr>
            <w:tcW w:w="1595" w:type="dxa"/>
            <w:vAlign w:val="top"/>
          </w:tcPr>
          <w:p>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0</w:t>
            </w:r>
          </w:p>
        </w:tc>
        <w:tc>
          <w:tcPr>
            <w:tcW w:w="1701" w:type="dxa"/>
          </w:tcPr>
          <w:p>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0</w:t>
            </w:r>
          </w:p>
        </w:tc>
        <w:tc>
          <w:tcPr>
            <w:tcW w:w="1924" w:type="dxa"/>
          </w:tcPr>
          <w:p>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8" w:hRule="atLeast"/>
        </w:trPr>
        <w:tc>
          <w:tcPr>
            <w:tcW w:w="801" w:type="dxa"/>
          </w:tcPr>
          <w:p>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12</w:t>
            </w:r>
          </w:p>
        </w:tc>
        <w:tc>
          <w:tcPr>
            <w:tcW w:w="2849" w:type="dxa"/>
          </w:tcPr>
          <w:p>
            <w:pPr>
              <w:spacing w:line="440" w:lineRule="atLeast"/>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维修费</w:t>
            </w:r>
          </w:p>
        </w:tc>
        <w:tc>
          <w:tcPr>
            <w:tcW w:w="1595" w:type="dxa"/>
            <w:vAlign w:val="top"/>
          </w:tcPr>
          <w:p>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61.18</w:t>
            </w:r>
          </w:p>
        </w:tc>
        <w:tc>
          <w:tcPr>
            <w:tcW w:w="1701" w:type="dxa"/>
          </w:tcPr>
          <w:p>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5.37</w:t>
            </w:r>
          </w:p>
        </w:tc>
        <w:tc>
          <w:tcPr>
            <w:tcW w:w="1924" w:type="dxa"/>
          </w:tcPr>
          <w:p>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-55.81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8" w:hRule="atLeast"/>
        </w:trPr>
        <w:tc>
          <w:tcPr>
            <w:tcW w:w="801" w:type="dxa"/>
          </w:tcPr>
          <w:p>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13</w:t>
            </w:r>
          </w:p>
        </w:tc>
        <w:tc>
          <w:tcPr>
            <w:tcW w:w="2849" w:type="dxa"/>
          </w:tcPr>
          <w:p>
            <w:pPr>
              <w:spacing w:line="440" w:lineRule="atLeast"/>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手续费</w:t>
            </w:r>
          </w:p>
        </w:tc>
        <w:tc>
          <w:tcPr>
            <w:tcW w:w="1595" w:type="dxa"/>
            <w:vAlign w:val="top"/>
          </w:tcPr>
          <w:p>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0.15</w:t>
            </w:r>
          </w:p>
        </w:tc>
        <w:tc>
          <w:tcPr>
            <w:tcW w:w="1701" w:type="dxa"/>
          </w:tcPr>
          <w:p>
            <w:pPr>
              <w:spacing w:line="440" w:lineRule="atLeast"/>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val="en-US" w:eastAsia="zh-CN"/>
              </w:rPr>
              <w:t>0</w:t>
            </w:r>
          </w:p>
        </w:tc>
        <w:tc>
          <w:tcPr>
            <w:tcW w:w="1924" w:type="dxa"/>
          </w:tcPr>
          <w:p>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w:t>
            </w:r>
            <w:r>
              <w:rPr>
                <w:rFonts w:hint="eastAsia" w:asciiTheme="minorEastAsia" w:hAnsiTheme="minorEastAsia" w:eastAsiaTheme="minorEastAsia" w:cstheme="minorEastAsia"/>
                <w:color w:val="auto"/>
                <w:sz w:val="21"/>
                <w:szCs w:val="21"/>
                <w:highlight w:val="none"/>
              </w:rPr>
              <w:t>0.15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8" w:hRule="atLeast"/>
        </w:trPr>
        <w:tc>
          <w:tcPr>
            <w:tcW w:w="801" w:type="dxa"/>
          </w:tcPr>
          <w:p>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14</w:t>
            </w:r>
          </w:p>
        </w:tc>
        <w:tc>
          <w:tcPr>
            <w:tcW w:w="2849" w:type="dxa"/>
          </w:tcPr>
          <w:p>
            <w:pPr>
              <w:spacing w:line="440" w:lineRule="atLeast"/>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会议费</w:t>
            </w:r>
          </w:p>
        </w:tc>
        <w:tc>
          <w:tcPr>
            <w:tcW w:w="1595" w:type="dxa"/>
            <w:vAlign w:val="top"/>
          </w:tcPr>
          <w:p>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25.74</w:t>
            </w:r>
          </w:p>
        </w:tc>
        <w:tc>
          <w:tcPr>
            <w:tcW w:w="1701" w:type="dxa"/>
          </w:tcPr>
          <w:p>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9.12</w:t>
            </w:r>
          </w:p>
        </w:tc>
        <w:tc>
          <w:tcPr>
            <w:tcW w:w="1924" w:type="dxa"/>
          </w:tcPr>
          <w:p>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-16.62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8" w:hRule="atLeast"/>
        </w:trPr>
        <w:tc>
          <w:tcPr>
            <w:tcW w:w="801" w:type="dxa"/>
          </w:tcPr>
          <w:p>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15</w:t>
            </w:r>
          </w:p>
        </w:tc>
        <w:tc>
          <w:tcPr>
            <w:tcW w:w="2849" w:type="dxa"/>
          </w:tcPr>
          <w:p>
            <w:pPr>
              <w:spacing w:line="440" w:lineRule="atLeast"/>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培训费</w:t>
            </w:r>
          </w:p>
        </w:tc>
        <w:tc>
          <w:tcPr>
            <w:tcW w:w="1595" w:type="dxa"/>
            <w:vAlign w:val="top"/>
          </w:tcPr>
          <w:p>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0.68</w:t>
            </w:r>
          </w:p>
        </w:tc>
        <w:tc>
          <w:tcPr>
            <w:tcW w:w="1701" w:type="dxa"/>
          </w:tcPr>
          <w:p>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20.36</w:t>
            </w:r>
          </w:p>
        </w:tc>
        <w:tc>
          <w:tcPr>
            <w:tcW w:w="1924" w:type="dxa"/>
          </w:tcPr>
          <w:p>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19.68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8" w:hRule="atLeast"/>
        </w:trPr>
        <w:tc>
          <w:tcPr>
            <w:tcW w:w="801" w:type="dxa"/>
          </w:tcPr>
          <w:p>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16</w:t>
            </w:r>
          </w:p>
        </w:tc>
        <w:tc>
          <w:tcPr>
            <w:tcW w:w="2849" w:type="dxa"/>
          </w:tcPr>
          <w:p>
            <w:pPr>
              <w:spacing w:line="440" w:lineRule="atLeast"/>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公务接待费</w:t>
            </w:r>
          </w:p>
        </w:tc>
        <w:tc>
          <w:tcPr>
            <w:tcW w:w="1595" w:type="dxa"/>
            <w:vAlign w:val="top"/>
          </w:tcPr>
          <w:p>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1.69</w:t>
            </w:r>
          </w:p>
        </w:tc>
        <w:tc>
          <w:tcPr>
            <w:tcW w:w="1701" w:type="dxa"/>
          </w:tcPr>
          <w:p>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0.83</w:t>
            </w:r>
          </w:p>
        </w:tc>
        <w:tc>
          <w:tcPr>
            <w:tcW w:w="1924" w:type="dxa"/>
          </w:tcPr>
          <w:p>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w:t>
            </w:r>
            <w:r>
              <w:rPr>
                <w:rFonts w:hint="eastAsia" w:asciiTheme="minorEastAsia" w:hAnsiTheme="minorEastAsia" w:eastAsiaTheme="minorEastAsia" w:cstheme="minorEastAsia"/>
                <w:color w:val="auto"/>
                <w:sz w:val="21"/>
                <w:szCs w:val="21"/>
                <w:highlight w:val="none"/>
                <w:lang w:val="en-US" w:eastAsia="zh-CN"/>
              </w:rPr>
              <w:t>0.86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8" w:hRule="atLeast"/>
        </w:trPr>
        <w:tc>
          <w:tcPr>
            <w:tcW w:w="801" w:type="dxa"/>
          </w:tcPr>
          <w:p>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17</w:t>
            </w:r>
          </w:p>
        </w:tc>
        <w:tc>
          <w:tcPr>
            <w:tcW w:w="2849" w:type="dxa"/>
          </w:tcPr>
          <w:p>
            <w:pPr>
              <w:spacing w:line="440" w:lineRule="atLeast"/>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劳务费</w:t>
            </w:r>
          </w:p>
        </w:tc>
        <w:tc>
          <w:tcPr>
            <w:tcW w:w="1595" w:type="dxa"/>
            <w:vAlign w:val="top"/>
          </w:tcPr>
          <w:p>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25.12</w:t>
            </w:r>
          </w:p>
        </w:tc>
        <w:tc>
          <w:tcPr>
            <w:tcW w:w="1701" w:type="dxa"/>
          </w:tcPr>
          <w:p>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22.21</w:t>
            </w:r>
          </w:p>
        </w:tc>
        <w:tc>
          <w:tcPr>
            <w:tcW w:w="1924" w:type="dxa"/>
          </w:tcPr>
          <w:p>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-2.91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8" w:hRule="atLeast"/>
        </w:trPr>
        <w:tc>
          <w:tcPr>
            <w:tcW w:w="801" w:type="dxa"/>
          </w:tcPr>
          <w:p>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18</w:t>
            </w:r>
          </w:p>
        </w:tc>
        <w:tc>
          <w:tcPr>
            <w:tcW w:w="2849" w:type="dxa"/>
          </w:tcPr>
          <w:p>
            <w:pPr>
              <w:spacing w:line="440" w:lineRule="atLeast"/>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委托业务</w:t>
            </w:r>
          </w:p>
        </w:tc>
        <w:tc>
          <w:tcPr>
            <w:tcW w:w="1595" w:type="dxa"/>
            <w:vAlign w:val="top"/>
          </w:tcPr>
          <w:p>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33.5</w:t>
            </w:r>
          </w:p>
        </w:tc>
        <w:tc>
          <w:tcPr>
            <w:tcW w:w="1701" w:type="dxa"/>
          </w:tcPr>
          <w:p>
            <w:pPr>
              <w:spacing w:line="440" w:lineRule="atLeast"/>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val="en-US" w:eastAsia="zh-CN"/>
              </w:rPr>
              <w:t>0</w:t>
            </w:r>
          </w:p>
        </w:tc>
        <w:tc>
          <w:tcPr>
            <w:tcW w:w="1924" w:type="dxa"/>
          </w:tcPr>
          <w:p>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w:t>
            </w:r>
            <w:r>
              <w:rPr>
                <w:rFonts w:hint="eastAsia" w:asciiTheme="minorEastAsia" w:hAnsiTheme="minorEastAsia" w:eastAsiaTheme="minorEastAsia" w:cstheme="minorEastAsia"/>
                <w:color w:val="auto"/>
                <w:sz w:val="21"/>
                <w:szCs w:val="21"/>
                <w:highlight w:val="none"/>
              </w:rPr>
              <w:t>33.50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8" w:hRule="atLeast"/>
        </w:trPr>
        <w:tc>
          <w:tcPr>
            <w:tcW w:w="801" w:type="dxa"/>
          </w:tcPr>
          <w:p>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19</w:t>
            </w:r>
          </w:p>
        </w:tc>
        <w:tc>
          <w:tcPr>
            <w:tcW w:w="2849" w:type="dxa"/>
          </w:tcPr>
          <w:p>
            <w:pPr>
              <w:spacing w:line="440" w:lineRule="atLeast"/>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工会经费</w:t>
            </w:r>
          </w:p>
        </w:tc>
        <w:tc>
          <w:tcPr>
            <w:tcW w:w="1595" w:type="dxa"/>
            <w:vAlign w:val="top"/>
          </w:tcPr>
          <w:p>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0.5</w:t>
            </w:r>
          </w:p>
        </w:tc>
        <w:tc>
          <w:tcPr>
            <w:tcW w:w="1701" w:type="dxa"/>
          </w:tcPr>
          <w:p>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2.03</w:t>
            </w:r>
          </w:p>
        </w:tc>
        <w:tc>
          <w:tcPr>
            <w:tcW w:w="1924" w:type="dxa"/>
          </w:tcPr>
          <w:p>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1.53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8" w:hRule="atLeast"/>
        </w:trPr>
        <w:tc>
          <w:tcPr>
            <w:tcW w:w="801" w:type="dxa"/>
          </w:tcPr>
          <w:p>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20</w:t>
            </w:r>
          </w:p>
        </w:tc>
        <w:tc>
          <w:tcPr>
            <w:tcW w:w="2849" w:type="dxa"/>
          </w:tcPr>
          <w:p>
            <w:pPr>
              <w:spacing w:line="440" w:lineRule="atLeast"/>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福利费</w:t>
            </w:r>
          </w:p>
        </w:tc>
        <w:tc>
          <w:tcPr>
            <w:tcW w:w="1595" w:type="dxa"/>
            <w:vAlign w:val="top"/>
          </w:tcPr>
          <w:p>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20.66</w:t>
            </w:r>
          </w:p>
        </w:tc>
        <w:tc>
          <w:tcPr>
            <w:tcW w:w="1701" w:type="dxa"/>
          </w:tcPr>
          <w:p>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23.32</w:t>
            </w:r>
          </w:p>
        </w:tc>
        <w:tc>
          <w:tcPr>
            <w:tcW w:w="1924" w:type="dxa"/>
          </w:tcPr>
          <w:p>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2.66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8" w:hRule="atLeast"/>
        </w:trPr>
        <w:tc>
          <w:tcPr>
            <w:tcW w:w="801" w:type="dxa"/>
          </w:tcPr>
          <w:p>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21</w:t>
            </w:r>
          </w:p>
        </w:tc>
        <w:tc>
          <w:tcPr>
            <w:tcW w:w="2849" w:type="dxa"/>
          </w:tcPr>
          <w:p>
            <w:pPr>
              <w:spacing w:line="440" w:lineRule="atLeast"/>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公务用车运行维护费</w:t>
            </w:r>
          </w:p>
        </w:tc>
        <w:tc>
          <w:tcPr>
            <w:tcW w:w="1595" w:type="dxa"/>
            <w:vAlign w:val="top"/>
          </w:tcPr>
          <w:p>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5.59</w:t>
            </w:r>
          </w:p>
        </w:tc>
        <w:tc>
          <w:tcPr>
            <w:tcW w:w="1701" w:type="dxa"/>
          </w:tcPr>
          <w:p>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8.95</w:t>
            </w:r>
          </w:p>
        </w:tc>
        <w:tc>
          <w:tcPr>
            <w:tcW w:w="1924" w:type="dxa"/>
          </w:tcPr>
          <w:p>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3.36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8" w:hRule="atLeast"/>
        </w:trPr>
        <w:tc>
          <w:tcPr>
            <w:tcW w:w="801" w:type="dxa"/>
          </w:tcPr>
          <w:p>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22</w:t>
            </w:r>
          </w:p>
        </w:tc>
        <w:tc>
          <w:tcPr>
            <w:tcW w:w="2849" w:type="dxa"/>
          </w:tcPr>
          <w:p>
            <w:pPr>
              <w:spacing w:line="440" w:lineRule="atLeast"/>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其他交通费用</w:t>
            </w:r>
          </w:p>
        </w:tc>
        <w:tc>
          <w:tcPr>
            <w:tcW w:w="1595" w:type="dxa"/>
            <w:vAlign w:val="top"/>
          </w:tcPr>
          <w:p>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15.53</w:t>
            </w:r>
          </w:p>
        </w:tc>
        <w:tc>
          <w:tcPr>
            <w:tcW w:w="1701" w:type="dxa"/>
          </w:tcPr>
          <w:p>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30.53</w:t>
            </w:r>
          </w:p>
        </w:tc>
        <w:tc>
          <w:tcPr>
            <w:tcW w:w="1924" w:type="dxa"/>
          </w:tcPr>
          <w:p>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15.00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8" w:hRule="atLeast"/>
        </w:trPr>
        <w:tc>
          <w:tcPr>
            <w:tcW w:w="801" w:type="dxa"/>
          </w:tcPr>
          <w:p>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23</w:t>
            </w:r>
          </w:p>
        </w:tc>
        <w:tc>
          <w:tcPr>
            <w:tcW w:w="2849" w:type="dxa"/>
          </w:tcPr>
          <w:p>
            <w:pPr>
              <w:spacing w:line="440" w:lineRule="atLeast"/>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税金及附加费用</w:t>
            </w:r>
          </w:p>
        </w:tc>
        <w:tc>
          <w:tcPr>
            <w:tcW w:w="1595" w:type="dxa"/>
            <w:vAlign w:val="top"/>
          </w:tcPr>
          <w:p>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0</w:t>
            </w:r>
          </w:p>
        </w:tc>
        <w:tc>
          <w:tcPr>
            <w:tcW w:w="1701" w:type="dxa"/>
          </w:tcPr>
          <w:p>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0</w:t>
            </w:r>
          </w:p>
        </w:tc>
        <w:tc>
          <w:tcPr>
            <w:tcW w:w="1924" w:type="dxa"/>
          </w:tcPr>
          <w:p>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8" w:hRule="atLeast"/>
        </w:trPr>
        <w:tc>
          <w:tcPr>
            <w:tcW w:w="801" w:type="dxa"/>
          </w:tcPr>
          <w:p>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24</w:t>
            </w:r>
          </w:p>
        </w:tc>
        <w:tc>
          <w:tcPr>
            <w:tcW w:w="2849" w:type="dxa"/>
          </w:tcPr>
          <w:p>
            <w:pPr>
              <w:spacing w:line="440" w:lineRule="atLeast"/>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其他商品和服务支出</w:t>
            </w:r>
          </w:p>
        </w:tc>
        <w:tc>
          <w:tcPr>
            <w:tcW w:w="1595" w:type="dxa"/>
            <w:vAlign w:val="top"/>
          </w:tcPr>
          <w:p>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2055.01</w:t>
            </w:r>
          </w:p>
        </w:tc>
        <w:tc>
          <w:tcPr>
            <w:tcW w:w="1701" w:type="dxa"/>
          </w:tcPr>
          <w:p>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1462.40</w:t>
            </w:r>
          </w:p>
        </w:tc>
        <w:tc>
          <w:tcPr>
            <w:tcW w:w="1924" w:type="dxa"/>
          </w:tcPr>
          <w:p>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-592.61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8" w:hRule="atLeast"/>
        </w:trPr>
        <w:tc>
          <w:tcPr>
            <w:tcW w:w="801" w:type="dxa"/>
          </w:tcPr>
          <w:p>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 25</w:t>
            </w:r>
          </w:p>
        </w:tc>
        <w:tc>
          <w:tcPr>
            <w:tcW w:w="2849" w:type="dxa"/>
          </w:tcPr>
          <w:p>
            <w:pPr>
              <w:spacing w:line="440" w:lineRule="atLeast"/>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对个人和家庭的补助</w:t>
            </w:r>
          </w:p>
        </w:tc>
        <w:tc>
          <w:tcPr>
            <w:tcW w:w="1595" w:type="dxa"/>
            <w:vAlign w:val="top"/>
          </w:tcPr>
          <w:p>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367.99</w:t>
            </w:r>
          </w:p>
        </w:tc>
        <w:tc>
          <w:tcPr>
            <w:tcW w:w="1701" w:type="dxa"/>
          </w:tcPr>
          <w:p>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17.33</w:t>
            </w:r>
          </w:p>
        </w:tc>
        <w:tc>
          <w:tcPr>
            <w:tcW w:w="1924" w:type="dxa"/>
          </w:tcPr>
          <w:p>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-350.66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8" w:hRule="atLeast"/>
        </w:trPr>
        <w:tc>
          <w:tcPr>
            <w:tcW w:w="801" w:type="dxa"/>
          </w:tcPr>
          <w:p>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26</w:t>
            </w:r>
          </w:p>
        </w:tc>
        <w:tc>
          <w:tcPr>
            <w:tcW w:w="2849" w:type="dxa"/>
          </w:tcPr>
          <w:p>
            <w:pPr>
              <w:spacing w:line="440" w:lineRule="atLeast"/>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办公设备购置及修缮</w:t>
            </w:r>
          </w:p>
        </w:tc>
        <w:tc>
          <w:tcPr>
            <w:tcW w:w="1595" w:type="dxa"/>
            <w:vAlign w:val="top"/>
          </w:tcPr>
          <w:p>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58.47</w:t>
            </w:r>
          </w:p>
        </w:tc>
        <w:tc>
          <w:tcPr>
            <w:tcW w:w="1701" w:type="dxa"/>
          </w:tcPr>
          <w:p>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2.68</w:t>
            </w:r>
          </w:p>
        </w:tc>
        <w:tc>
          <w:tcPr>
            <w:tcW w:w="1924" w:type="dxa"/>
          </w:tcPr>
          <w:p>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-55.79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8" w:hRule="atLeast"/>
        </w:trPr>
        <w:tc>
          <w:tcPr>
            <w:tcW w:w="801" w:type="dxa"/>
          </w:tcPr>
          <w:p>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27</w:t>
            </w:r>
          </w:p>
        </w:tc>
        <w:tc>
          <w:tcPr>
            <w:tcW w:w="2849" w:type="dxa"/>
          </w:tcPr>
          <w:p>
            <w:pPr>
              <w:spacing w:line="440" w:lineRule="atLeast"/>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对企业补助</w:t>
            </w:r>
          </w:p>
        </w:tc>
        <w:tc>
          <w:tcPr>
            <w:tcW w:w="1595" w:type="dxa"/>
            <w:vAlign w:val="top"/>
          </w:tcPr>
          <w:p>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2583.75</w:t>
            </w:r>
          </w:p>
        </w:tc>
        <w:tc>
          <w:tcPr>
            <w:tcW w:w="1701" w:type="dxa"/>
          </w:tcPr>
          <w:p>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1982.99</w:t>
            </w:r>
          </w:p>
        </w:tc>
        <w:tc>
          <w:tcPr>
            <w:tcW w:w="1924" w:type="dxa"/>
          </w:tcPr>
          <w:p>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w:t>
            </w:r>
            <w:r>
              <w:rPr>
                <w:rFonts w:hint="eastAsia" w:asciiTheme="minorEastAsia" w:hAnsiTheme="minorEastAsia" w:eastAsiaTheme="minorEastAsia" w:cstheme="minorEastAsia"/>
                <w:color w:val="auto"/>
                <w:sz w:val="21"/>
                <w:szCs w:val="21"/>
                <w:highlight w:val="none"/>
                <w:lang w:val="en-US" w:eastAsia="zh-CN"/>
              </w:rPr>
              <w:t>600.76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9" w:hRule="atLeast"/>
        </w:trPr>
        <w:tc>
          <w:tcPr>
            <w:tcW w:w="801" w:type="dxa"/>
          </w:tcPr>
          <w:p>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28</w:t>
            </w:r>
          </w:p>
        </w:tc>
        <w:tc>
          <w:tcPr>
            <w:tcW w:w="2849" w:type="dxa"/>
          </w:tcPr>
          <w:p>
            <w:pPr>
              <w:spacing w:line="440" w:lineRule="atLeas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合 计</w:t>
            </w:r>
          </w:p>
        </w:tc>
        <w:tc>
          <w:tcPr>
            <w:tcW w:w="1595" w:type="dxa"/>
            <w:vAlign w:val="top"/>
          </w:tcPr>
          <w:p>
            <w:pPr>
              <w:spacing w:line="440" w:lineRule="atLeas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5433.55</w:t>
            </w:r>
          </w:p>
        </w:tc>
        <w:tc>
          <w:tcPr>
            <w:tcW w:w="1701" w:type="dxa"/>
          </w:tcPr>
          <w:p>
            <w:pPr>
              <w:spacing w:line="440" w:lineRule="atLeast"/>
              <w:jc w:val="center"/>
              <w:rPr>
                <w:rFonts w:hint="default"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4078.15</w:t>
            </w:r>
          </w:p>
        </w:tc>
        <w:tc>
          <w:tcPr>
            <w:tcW w:w="1924" w:type="dxa"/>
          </w:tcPr>
          <w:p>
            <w:pPr>
              <w:spacing w:line="440" w:lineRule="atLeast"/>
              <w:jc w:val="center"/>
              <w:rPr>
                <w:rFonts w:hint="default"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-1355.40</w:t>
            </w:r>
          </w:p>
        </w:tc>
      </w:tr>
      <w:bookmarkEnd w:id="8"/>
    </w:tbl>
    <w:p>
      <w:pPr>
        <w:spacing w:line="600" w:lineRule="exact"/>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202</w:t>
      </w:r>
      <w:r>
        <w:rPr>
          <w:rFonts w:hint="eastAsia" w:asciiTheme="minorEastAsia" w:hAnsiTheme="minorEastAsia" w:eastAsiaTheme="minorEastAsia" w:cstheme="minorEastAsia"/>
          <w:color w:val="auto"/>
          <w:sz w:val="24"/>
          <w:szCs w:val="24"/>
          <w:highlight w:val="none"/>
          <w:lang w:val="en-US" w:eastAsia="zh-CN"/>
        </w:rPr>
        <w:t>1</w:t>
      </w:r>
      <w:r>
        <w:rPr>
          <w:rFonts w:hint="eastAsia" w:asciiTheme="minorEastAsia" w:hAnsiTheme="minorEastAsia" w:eastAsiaTheme="minorEastAsia" w:cstheme="minorEastAsia"/>
          <w:color w:val="auto"/>
          <w:sz w:val="24"/>
          <w:szCs w:val="24"/>
          <w:highlight w:val="none"/>
        </w:rPr>
        <w:t>年度本</w:t>
      </w:r>
      <w:r>
        <w:rPr>
          <w:rFonts w:hint="eastAsia" w:asciiTheme="minorEastAsia" w:hAnsiTheme="minorEastAsia" w:eastAsiaTheme="minorEastAsia" w:cstheme="minorEastAsia"/>
          <w:color w:val="auto"/>
          <w:sz w:val="24"/>
          <w:szCs w:val="24"/>
          <w:highlight w:val="none"/>
          <w:lang w:val="en-US" w:eastAsia="zh-CN"/>
        </w:rPr>
        <w:t>单位</w:t>
      </w:r>
      <w:r>
        <w:rPr>
          <w:rFonts w:hint="eastAsia" w:asciiTheme="minorEastAsia" w:hAnsiTheme="minorEastAsia" w:eastAsiaTheme="minorEastAsia" w:cstheme="minorEastAsia"/>
          <w:color w:val="auto"/>
          <w:sz w:val="24"/>
          <w:szCs w:val="24"/>
          <w:highlight w:val="none"/>
        </w:rPr>
        <w:t>项目支出</w:t>
      </w:r>
      <w:r>
        <w:rPr>
          <w:rFonts w:hint="eastAsia" w:asciiTheme="minorEastAsia" w:hAnsiTheme="minorEastAsia" w:eastAsiaTheme="minorEastAsia" w:cstheme="minorEastAsia"/>
          <w:color w:val="auto"/>
          <w:sz w:val="24"/>
          <w:szCs w:val="24"/>
          <w:highlight w:val="none"/>
          <w:lang w:val="en-US" w:eastAsia="zh-CN"/>
        </w:rPr>
        <w:t>4078.15</w:t>
      </w:r>
      <w:r>
        <w:rPr>
          <w:rFonts w:hint="eastAsia" w:asciiTheme="minorEastAsia" w:hAnsiTheme="minorEastAsia" w:eastAsiaTheme="minorEastAsia" w:cstheme="minorEastAsia"/>
          <w:color w:val="auto"/>
          <w:sz w:val="24"/>
          <w:szCs w:val="24"/>
          <w:highlight w:val="none"/>
        </w:rPr>
        <w:t>万元，主要用于一般公共服务支出</w:t>
      </w:r>
      <w:r>
        <w:rPr>
          <w:rFonts w:hint="eastAsia" w:asciiTheme="minorEastAsia" w:hAnsiTheme="minorEastAsia" w:eastAsiaTheme="minorEastAsia" w:cstheme="minorEastAsia"/>
          <w:color w:val="auto"/>
          <w:sz w:val="24"/>
          <w:szCs w:val="24"/>
          <w:highlight w:val="none"/>
          <w:lang w:val="en-US" w:eastAsia="zh-CN"/>
        </w:rPr>
        <w:t>934.46</w:t>
      </w:r>
      <w:r>
        <w:rPr>
          <w:rFonts w:hint="eastAsia" w:asciiTheme="minorEastAsia" w:hAnsiTheme="minorEastAsia" w:eastAsiaTheme="minorEastAsia" w:cstheme="minorEastAsia"/>
          <w:color w:val="auto"/>
          <w:sz w:val="24"/>
          <w:szCs w:val="24"/>
          <w:highlight w:val="none"/>
        </w:rPr>
        <w:t>万元，社会保障和就业支出</w:t>
      </w:r>
      <w:r>
        <w:rPr>
          <w:rFonts w:hint="eastAsia" w:asciiTheme="minorEastAsia" w:hAnsiTheme="minorEastAsia" w:eastAsiaTheme="minorEastAsia" w:cstheme="minorEastAsia"/>
          <w:color w:val="auto"/>
          <w:sz w:val="24"/>
          <w:szCs w:val="24"/>
          <w:highlight w:val="none"/>
          <w:lang w:val="en-US" w:eastAsia="zh-CN"/>
        </w:rPr>
        <w:t>143.87</w:t>
      </w:r>
      <w:r>
        <w:rPr>
          <w:rFonts w:hint="eastAsia" w:asciiTheme="minorEastAsia" w:hAnsiTheme="minorEastAsia" w:eastAsiaTheme="minorEastAsia" w:cstheme="minorEastAsia"/>
          <w:color w:val="auto"/>
          <w:sz w:val="24"/>
          <w:szCs w:val="24"/>
          <w:highlight w:val="none"/>
        </w:rPr>
        <w:t>万元、</w:t>
      </w:r>
      <w:r>
        <w:rPr>
          <w:rFonts w:hint="eastAsia" w:asciiTheme="minorEastAsia" w:hAnsiTheme="minorEastAsia" w:eastAsiaTheme="minorEastAsia" w:cstheme="minorEastAsia"/>
          <w:color w:val="auto"/>
          <w:sz w:val="24"/>
          <w:szCs w:val="24"/>
          <w:highlight w:val="none"/>
          <w:lang w:val="en-US" w:eastAsia="zh-CN"/>
        </w:rPr>
        <w:t>卫生健康</w:t>
      </w:r>
      <w:r>
        <w:rPr>
          <w:rFonts w:hint="eastAsia" w:asciiTheme="minorEastAsia" w:hAnsiTheme="minorEastAsia" w:eastAsiaTheme="minorEastAsia" w:cstheme="minorEastAsia"/>
          <w:color w:val="auto"/>
          <w:sz w:val="24"/>
          <w:szCs w:val="24"/>
          <w:highlight w:val="none"/>
        </w:rPr>
        <w:t>支出</w:t>
      </w:r>
      <w:r>
        <w:rPr>
          <w:rFonts w:hint="eastAsia" w:asciiTheme="minorEastAsia" w:hAnsiTheme="minorEastAsia" w:eastAsiaTheme="minorEastAsia" w:cstheme="minorEastAsia"/>
          <w:color w:val="auto"/>
          <w:sz w:val="24"/>
          <w:szCs w:val="24"/>
          <w:highlight w:val="none"/>
          <w:lang w:val="en-US" w:eastAsia="zh-CN"/>
        </w:rPr>
        <w:t>63.39</w:t>
      </w:r>
      <w:r>
        <w:rPr>
          <w:rFonts w:hint="eastAsia" w:asciiTheme="minorEastAsia" w:hAnsiTheme="minorEastAsia" w:eastAsiaTheme="minorEastAsia" w:cstheme="minorEastAsia"/>
          <w:color w:val="auto"/>
          <w:sz w:val="24"/>
          <w:szCs w:val="24"/>
          <w:highlight w:val="none"/>
        </w:rPr>
        <w:t>万元、资源勘探工业信息等支出</w:t>
      </w:r>
      <w:r>
        <w:rPr>
          <w:rFonts w:hint="eastAsia" w:asciiTheme="minorEastAsia" w:hAnsiTheme="minorEastAsia" w:eastAsiaTheme="minorEastAsia" w:cstheme="minorEastAsia"/>
          <w:color w:val="auto"/>
          <w:sz w:val="24"/>
          <w:szCs w:val="24"/>
          <w:highlight w:val="none"/>
          <w:lang w:val="en-US" w:eastAsia="zh-CN"/>
        </w:rPr>
        <w:t>2228.25万元</w:t>
      </w:r>
      <w:r>
        <w:rPr>
          <w:rFonts w:hint="eastAsia" w:asciiTheme="minorEastAsia" w:hAnsiTheme="minorEastAsia" w:eastAsiaTheme="minorEastAsia" w:cstheme="minorEastAsia"/>
          <w:color w:val="auto"/>
          <w:sz w:val="24"/>
          <w:szCs w:val="24"/>
          <w:highlight w:val="none"/>
        </w:rPr>
        <w:t>、粮油物资储备支出</w:t>
      </w:r>
      <w:r>
        <w:rPr>
          <w:rFonts w:hint="eastAsia" w:asciiTheme="minorEastAsia" w:hAnsiTheme="minorEastAsia" w:eastAsiaTheme="minorEastAsia" w:cstheme="minorEastAsia"/>
          <w:color w:val="auto"/>
          <w:sz w:val="24"/>
          <w:szCs w:val="24"/>
          <w:highlight w:val="none"/>
          <w:lang w:val="en-US" w:eastAsia="zh-CN"/>
        </w:rPr>
        <w:t>708.18</w:t>
      </w:r>
      <w:r>
        <w:rPr>
          <w:rFonts w:hint="eastAsia" w:asciiTheme="minorEastAsia" w:hAnsiTheme="minorEastAsia" w:eastAsiaTheme="minorEastAsia" w:cstheme="minorEastAsia"/>
          <w:color w:val="auto"/>
          <w:sz w:val="24"/>
          <w:szCs w:val="24"/>
          <w:highlight w:val="none"/>
        </w:rPr>
        <w:t>万元。均按财政部门要求进行使用和管理。</w:t>
      </w:r>
    </w:p>
    <w:p>
      <w:pPr>
        <w:pStyle w:val="14"/>
        <w:widowControl/>
        <w:spacing w:line="540" w:lineRule="exact"/>
        <w:ind w:left="0" w:leftChars="0" w:firstLine="422" w:firstLineChars="175"/>
        <w:rPr>
          <w:rFonts w:hint="eastAsia" w:asciiTheme="minorEastAsia" w:hAnsiTheme="minorEastAsia" w:eastAsiaTheme="minorEastAsia" w:cstheme="minorEastAsia"/>
          <w:b/>
          <w:bCs/>
          <w:color w:val="auto"/>
          <w:sz w:val="24"/>
          <w:szCs w:val="24"/>
          <w:highlight w:val="none"/>
          <w:lang w:eastAsia="zh-CN"/>
        </w:rPr>
      </w:pP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三</w:t>
      </w: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rPr>
        <w:t>“三公经费”支出情况</w:t>
      </w:r>
    </w:p>
    <w:p>
      <w:pPr>
        <w:spacing w:line="600" w:lineRule="exact"/>
        <w:ind w:firstLine="480" w:firstLineChars="200"/>
        <w:rPr>
          <w:rFonts w:hint="eastAsia" w:asciiTheme="minorEastAsia" w:hAnsiTheme="minorEastAsia" w:eastAsiaTheme="minorEastAsia" w:cstheme="minorEastAsia"/>
          <w:color w:val="auto"/>
          <w:sz w:val="24"/>
          <w:szCs w:val="24"/>
          <w:highlight w:val="none"/>
        </w:rPr>
      </w:pPr>
      <w:r>
        <w:rPr>
          <w:rFonts w:hint="default" w:asciiTheme="minorEastAsia" w:hAnsiTheme="minorEastAsia" w:eastAsiaTheme="minorEastAsia" w:cstheme="minorEastAsia"/>
          <w:color w:val="auto"/>
          <w:sz w:val="24"/>
          <w:szCs w:val="24"/>
          <w:highlight w:val="none"/>
          <w:lang w:val="en-US"/>
        </w:rPr>
        <w:t>2021</w:t>
      </w:r>
      <w:r>
        <w:rPr>
          <w:rFonts w:hint="eastAsia" w:asciiTheme="minorEastAsia" w:hAnsiTheme="minorEastAsia" w:eastAsiaTheme="minorEastAsia" w:cstheme="minorEastAsia"/>
          <w:color w:val="auto"/>
          <w:sz w:val="24"/>
          <w:szCs w:val="24"/>
          <w:highlight w:val="none"/>
        </w:rPr>
        <w:t>年“三公经费”预算</w:t>
      </w:r>
      <w:r>
        <w:rPr>
          <w:rFonts w:hint="default" w:asciiTheme="minorEastAsia" w:hAnsiTheme="minorEastAsia" w:eastAsiaTheme="minorEastAsia" w:cstheme="minorEastAsia"/>
          <w:color w:val="auto"/>
          <w:sz w:val="24"/>
          <w:szCs w:val="24"/>
          <w:highlight w:val="none"/>
          <w:lang w:val="en-US"/>
        </w:rPr>
        <w:t>70.60</w:t>
      </w:r>
      <w:r>
        <w:rPr>
          <w:rFonts w:hint="eastAsia" w:asciiTheme="minorEastAsia" w:hAnsiTheme="minorEastAsia" w:eastAsiaTheme="minorEastAsia" w:cstheme="minorEastAsia"/>
          <w:color w:val="auto"/>
          <w:sz w:val="24"/>
          <w:szCs w:val="24"/>
          <w:highlight w:val="none"/>
        </w:rPr>
        <w:t>万元，实际执行</w:t>
      </w:r>
      <w:r>
        <w:rPr>
          <w:rFonts w:hint="default" w:asciiTheme="minorEastAsia" w:hAnsiTheme="minorEastAsia" w:eastAsiaTheme="minorEastAsia" w:cstheme="minorEastAsia"/>
          <w:color w:val="auto"/>
          <w:sz w:val="24"/>
          <w:szCs w:val="24"/>
          <w:highlight w:val="none"/>
          <w:lang w:val="en-US"/>
        </w:rPr>
        <w:t>14.02</w:t>
      </w:r>
      <w:r>
        <w:rPr>
          <w:rFonts w:hint="eastAsia" w:asciiTheme="minorEastAsia" w:hAnsiTheme="minorEastAsia" w:eastAsiaTheme="minorEastAsia" w:cstheme="minorEastAsia"/>
          <w:color w:val="auto"/>
          <w:sz w:val="24"/>
          <w:szCs w:val="24"/>
          <w:highlight w:val="none"/>
        </w:rPr>
        <w:t>万元。</w:t>
      </w:r>
      <w:r>
        <w:rPr>
          <w:rFonts w:hint="eastAsia" w:asciiTheme="minorEastAsia" w:hAnsiTheme="minorEastAsia" w:eastAsiaTheme="minorEastAsia" w:cstheme="minorEastAsia"/>
          <w:color w:val="auto"/>
          <w:sz w:val="24"/>
          <w:szCs w:val="24"/>
          <w:highlight w:val="none"/>
          <w:lang w:val="en-US" w:eastAsia="zh-CN"/>
        </w:rPr>
        <w:t>其中：</w:t>
      </w:r>
      <w:r>
        <w:rPr>
          <w:rFonts w:hint="eastAsia" w:asciiTheme="minorEastAsia" w:hAnsiTheme="minorEastAsia" w:eastAsiaTheme="minorEastAsia" w:cstheme="minorEastAsia"/>
          <w:color w:val="auto"/>
          <w:sz w:val="24"/>
          <w:szCs w:val="24"/>
          <w:highlight w:val="none"/>
        </w:rPr>
        <w:t>202</w:t>
      </w:r>
      <w:r>
        <w:rPr>
          <w:rFonts w:hint="default" w:asciiTheme="minorEastAsia" w:hAnsiTheme="minorEastAsia" w:eastAsiaTheme="minorEastAsia" w:cstheme="minorEastAsia"/>
          <w:color w:val="auto"/>
          <w:sz w:val="24"/>
          <w:szCs w:val="24"/>
          <w:highlight w:val="none"/>
          <w:lang w:val="en-US"/>
        </w:rPr>
        <w:t>1</w:t>
      </w:r>
      <w:r>
        <w:rPr>
          <w:rFonts w:hint="eastAsia" w:asciiTheme="minorEastAsia" w:hAnsiTheme="minorEastAsia" w:eastAsiaTheme="minorEastAsia" w:cstheme="minorEastAsia"/>
          <w:color w:val="auto"/>
          <w:sz w:val="24"/>
          <w:szCs w:val="24"/>
          <w:highlight w:val="none"/>
        </w:rPr>
        <w:t>年公务接待费支出</w:t>
      </w:r>
      <w:r>
        <w:rPr>
          <w:rFonts w:hint="default" w:asciiTheme="minorEastAsia" w:hAnsiTheme="minorEastAsia" w:eastAsiaTheme="minorEastAsia" w:cstheme="minorEastAsia"/>
          <w:color w:val="auto"/>
          <w:sz w:val="24"/>
          <w:szCs w:val="24"/>
          <w:highlight w:val="none"/>
          <w:lang w:val="en-US"/>
        </w:rPr>
        <w:t>2.52</w:t>
      </w:r>
      <w:r>
        <w:rPr>
          <w:rFonts w:hint="eastAsia" w:asciiTheme="minorEastAsia" w:hAnsiTheme="minorEastAsia" w:eastAsiaTheme="minorEastAsia" w:cstheme="minorEastAsia"/>
          <w:color w:val="auto"/>
          <w:sz w:val="24"/>
          <w:szCs w:val="24"/>
          <w:highlight w:val="none"/>
        </w:rPr>
        <w:t>万元，同比20</w:t>
      </w:r>
      <w:r>
        <w:rPr>
          <w:rFonts w:hint="default" w:asciiTheme="minorEastAsia" w:hAnsiTheme="minorEastAsia" w:eastAsiaTheme="minorEastAsia" w:cstheme="minorEastAsia"/>
          <w:color w:val="auto"/>
          <w:sz w:val="24"/>
          <w:szCs w:val="24"/>
          <w:highlight w:val="none"/>
          <w:lang w:val="en-US"/>
        </w:rPr>
        <w:t>20</w:t>
      </w:r>
      <w:r>
        <w:rPr>
          <w:rFonts w:hint="eastAsia" w:asciiTheme="minorEastAsia" w:hAnsiTheme="minorEastAsia" w:eastAsiaTheme="minorEastAsia" w:cstheme="minorEastAsia"/>
          <w:color w:val="auto"/>
          <w:sz w:val="24"/>
          <w:szCs w:val="24"/>
          <w:highlight w:val="none"/>
        </w:rPr>
        <w:t>年3.32万元，下降</w:t>
      </w:r>
      <w:r>
        <w:rPr>
          <w:rFonts w:hint="default" w:asciiTheme="minorEastAsia" w:hAnsiTheme="minorEastAsia" w:eastAsiaTheme="minorEastAsia" w:cstheme="minorEastAsia"/>
          <w:color w:val="auto"/>
          <w:sz w:val="24"/>
          <w:szCs w:val="24"/>
          <w:highlight w:val="none"/>
          <w:lang w:val="en-US"/>
        </w:rPr>
        <w:t>24.10</w:t>
      </w:r>
      <w:r>
        <w:rPr>
          <w:rFonts w:hint="eastAsia" w:asciiTheme="minorEastAsia" w:hAnsiTheme="minorEastAsia" w:eastAsiaTheme="minorEastAsia" w:cstheme="minorEastAsia"/>
          <w:color w:val="auto"/>
          <w:sz w:val="24"/>
          <w:szCs w:val="24"/>
          <w:highlight w:val="none"/>
        </w:rPr>
        <w:t>%，本局</w:t>
      </w:r>
      <w:r>
        <w:rPr>
          <w:rFonts w:hint="eastAsia" w:asciiTheme="minorEastAsia" w:hAnsiTheme="minorEastAsia" w:eastAsiaTheme="minorEastAsia" w:cstheme="minorEastAsia"/>
          <w:color w:val="auto"/>
          <w:sz w:val="24"/>
          <w:szCs w:val="24"/>
          <w:highlight w:val="none"/>
          <w:lang w:val="en-US" w:eastAsia="zh-CN"/>
        </w:rPr>
        <w:t>近</w:t>
      </w:r>
      <w:r>
        <w:rPr>
          <w:rFonts w:hint="eastAsia" w:asciiTheme="minorEastAsia" w:hAnsiTheme="minorEastAsia" w:eastAsiaTheme="minorEastAsia" w:cstheme="minorEastAsia"/>
          <w:color w:val="auto"/>
          <w:sz w:val="24"/>
          <w:szCs w:val="24"/>
          <w:highlight w:val="none"/>
        </w:rPr>
        <w:t>年来接待经费支出呈明显下降趋势</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2021年公务车辆维护费11.50万元，同比2020年13.62万元，下降15.57%</w:t>
      </w:r>
      <w:r>
        <w:rPr>
          <w:rFonts w:hint="eastAsia" w:asciiTheme="minorEastAsia" w:hAnsiTheme="minorEastAsia" w:eastAsiaTheme="minorEastAsia" w:cstheme="minorEastAsia"/>
          <w:color w:val="auto"/>
          <w:sz w:val="24"/>
          <w:szCs w:val="24"/>
          <w:highlight w:val="none"/>
        </w:rPr>
        <w:t xml:space="preserve">。 </w:t>
      </w:r>
    </w:p>
    <w:p>
      <w:pPr>
        <w:pStyle w:val="14"/>
        <w:widowControl/>
        <w:spacing w:line="540" w:lineRule="exact"/>
        <w:ind w:left="0" w:leftChars="0" w:firstLine="422" w:firstLineChars="175"/>
        <w:rPr>
          <w:rFonts w:hint="eastAsia" w:asciiTheme="minorEastAsia" w:hAnsiTheme="minorEastAsia" w:eastAsiaTheme="minorEastAsia" w:cstheme="minorEastAsia"/>
          <w:b/>
          <w:bCs/>
          <w:color w:val="auto"/>
          <w:sz w:val="24"/>
          <w:szCs w:val="24"/>
          <w:highlight w:val="none"/>
          <w:lang w:eastAsia="zh-CN"/>
        </w:rPr>
      </w:pPr>
      <w:r>
        <w:rPr>
          <w:rFonts w:hint="eastAsia" w:asciiTheme="minorEastAsia" w:hAnsiTheme="minorEastAsia" w:eastAsiaTheme="minorEastAsia" w:cstheme="minorEastAsia"/>
          <w:b/>
          <w:bCs/>
          <w:color w:val="auto"/>
          <w:sz w:val="24"/>
          <w:szCs w:val="24"/>
          <w:highlight w:val="none"/>
          <w:lang w:val="en-US" w:eastAsia="zh-CN"/>
        </w:rPr>
        <w:t>三、</w:t>
      </w:r>
      <w:r>
        <w:rPr>
          <w:rFonts w:hint="eastAsia" w:asciiTheme="minorEastAsia" w:hAnsiTheme="minorEastAsia" w:eastAsiaTheme="minorEastAsia" w:cstheme="minorEastAsia"/>
          <w:b/>
          <w:bCs/>
          <w:color w:val="auto"/>
          <w:sz w:val="24"/>
          <w:szCs w:val="24"/>
          <w:highlight w:val="none"/>
          <w:lang w:eastAsia="zh-CN"/>
        </w:rPr>
        <w:t>政府性基金预算支出情况</w:t>
      </w:r>
    </w:p>
    <w:p>
      <w:pPr>
        <w:spacing w:line="600" w:lineRule="exact"/>
        <w:ind w:firstLine="480" w:firstLineChars="20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本局无政府性基金预算支出。</w:t>
      </w:r>
    </w:p>
    <w:p>
      <w:pPr>
        <w:pStyle w:val="14"/>
        <w:widowControl/>
        <w:spacing w:line="540" w:lineRule="exact"/>
        <w:ind w:left="0" w:leftChars="0" w:firstLine="422" w:firstLineChars="175"/>
        <w:rPr>
          <w:rFonts w:hint="eastAsia" w:asciiTheme="minorEastAsia" w:hAnsiTheme="minorEastAsia" w:eastAsiaTheme="minorEastAsia" w:cstheme="minorEastAsia"/>
          <w:b/>
          <w:bCs/>
          <w:color w:val="auto"/>
          <w:sz w:val="24"/>
          <w:szCs w:val="24"/>
          <w:highlight w:val="none"/>
          <w:lang w:eastAsia="zh-CN"/>
        </w:rPr>
      </w:pPr>
      <w:r>
        <w:rPr>
          <w:rFonts w:hint="eastAsia" w:asciiTheme="minorEastAsia" w:hAnsiTheme="minorEastAsia" w:eastAsiaTheme="minorEastAsia" w:cstheme="minorEastAsia"/>
          <w:b/>
          <w:bCs/>
          <w:color w:val="auto"/>
          <w:sz w:val="24"/>
          <w:szCs w:val="24"/>
          <w:highlight w:val="none"/>
          <w:lang w:val="en-US" w:eastAsia="zh-CN"/>
        </w:rPr>
        <w:t>四、</w:t>
      </w:r>
      <w:r>
        <w:rPr>
          <w:rFonts w:hint="eastAsia" w:asciiTheme="minorEastAsia" w:hAnsiTheme="minorEastAsia" w:eastAsiaTheme="minorEastAsia" w:cstheme="minorEastAsia"/>
          <w:b/>
          <w:bCs/>
          <w:color w:val="auto"/>
          <w:sz w:val="24"/>
          <w:szCs w:val="24"/>
          <w:highlight w:val="none"/>
          <w:lang w:eastAsia="zh-CN"/>
        </w:rPr>
        <w:t>国有资本经营预算支出情况</w:t>
      </w:r>
    </w:p>
    <w:p>
      <w:pPr>
        <w:spacing w:line="600" w:lineRule="exact"/>
        <w:ind w:firstLine="480" w:firstLineChars="200"/>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b w:val="0"/>
          <w:bCs w:val="0"/>
          <w:color w:val="auto"/>
          <w:sz w:val="24"/>
          <w:szCs w:val="24"/>
          <w:highlight w:val="none"/>
        </w:rPr>
        <w:t>本局无国有资本经营预算支出。</w:t>
      </w:r>
    </w:p>
    <w:p>
      <w:pPr>
        <w:pStyle w:val="14"/>
        <w:widowControl/>
        <w:spacing w:line="540" w:lineRule="exact"/>
        <w:ind w:left="0" w:leftChars="0" w:firstLine="422" w:firstLineChars="175"/>
        <w:rPr>
          <w:rFonts w:hint="eastAsia" w:asciiTheme="minorEastAsia" w:hAnsiTheme="minorEastAsia" w:eastAsiaTheme="minorEastAsia" w:cstheme="minorEastAsia"/>
          <w:b/>
          <w:bCs/>
          <w:color w:val="auto"/>
          <w:sz w:val="24"/>
          <w:szCs w:val="24"/>
          <w:highlight w:val="none"/>
          <w:lang w:eastAsia="zh-CN"/>
        </w:rPr>
      </w:pPr>
      <w:r>
        <w:rPr>
          <w:rFonts w:hint="eastAsia" w:asciiTheme="minorEastAsia" w:hAnsiTheme="minorEastAsia" w:eastAsiaTheme="minorEastAsia" w:cstheme="minorEastAsia"/>
          <w:b/>
          <w:bCs/>
          <w:color w:val="auto"/>
          <w:sz w:val="24"/>
          <w:szCs w:val="24"/>
          <w:highlight w:val="none"/>
          <w:lang w:val="en-US" w:eastAsia="zh-CN"/>
        </w:rPr>
        <w:t>五、</w:t>
      </w:r>
      <w:r>
        <w:rPr>
          <w:rFonts w:hint="eastAsia" w:asciiTheme="minorEastAsia" w:hAnsiTheme="minorEastAsia" w:eastAsiaTheme="minorEastAsia" w:cstheme="minorEastAsia"/>
          <w:b/>
          <w:bCs/>
          <w:color w:val="auto"/>
          <w:sz w:val="24"/>
          <w:szCs w:val="24"/>
          <w:highlight w:val="none"/>
          <w:lang w:eastAsia="zh-CN"/>
        </w:rPr>
        <w:t>社会保险基金预算支出情况</w:t>
      </w:r>
    </w:p>
    <w:p>
      <w:pPr>
        <w:spacing w:line="600" w:lineRule="exact"/>
        <w:ind w:firstLine="480" w:firstLineChars="200"/>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b w:val="0"/>
          <w:bCs w:val="0"/>
          <w:color w:val="auto"/>
          <w:sz w:val="24"/>
          <w:szCs w:val="24"/>
          <w:highlight w:val="none"/>
        </w:rPr>
        <w:t>本局无社会保险基金预算支出。</w:t>
      </w:r>
    </w:p>
    <w:p>
      <w:pPr>
        <w:pStyle w:val="14"/>
        <w:keepNext w:val="0"/>
        <w:keepLines w:val="0"/>
        <w:pageBreakBefore w:val="0"/>
        <w:widowControl/>
        <w:kinsoku/>
        <w:wordWrap/>
        <w:overflowPunct/>
        <w:topLinePunct w:val="0"/>
        <w:autoSpaceDE/>
        <w:autoSpaceDN/>
        <w:bidi w:val="0"/>
        <w:adjustRightInd/>
        <w:snapToGrid/>
        <w:spacing w:before="185" w:beforeLines="50" w:line="540" w:lineRule="exact"/>
        <w:ind w:left="0" w:leftChars="0" w:firstLine="422" w:firstLineChars="175"/>
        <w:textAlignment w:val="auto"/>
        <w:rPr>
          <w:rFonts w:hint="eastAsia" w:asciiTheme="minorEastAsia" w:hAnsiTheme="minorEastAsia" w:eastAsiaTheme="minorEastAsia" w:cstheme="minorEastAsia"/>
          <w:b/>
          <w:bCs/>
          <w:color w:val="auto"/>
          <w:sz w:val="24"/>
          <w:szCs w:val="24"/>
          <w:highlight w:val="none"/>
          <w:lang w:eastAsia="zh-CN"/>
        </w:rPr>
      </w:pPr>
      <w:r>
        <w:rPr>
          <w:rFonts w:hint="eastAsia" w:asciiTheme="minorEastAsia" w:hAnsiTheme="minorEastAsia" w:eastAsiaTheme="minorEastAsia" w:cstheme="minorEastAsia"/>
          <w:b/>
          <w:bCs/>
          <w:color w:val="auto"/>
          <w:sz w:val="24"/>
          <w:szCs w:val="24"/>
          <w:highlight w:val="none"/>
          <w:lang w:val="en-US" w:eastAsia="zh-CN"/>
        </w:rPr>
        <w:t>六、</w:t>
      </w:r>
      <w:r>
        <w:rPr>
          <w:rFonts w:hint="eastAsia" w:asciiTheme="minorEastAsia" w:hAnsiTheme="minorEastAsia" w:eastAsiaTheme="minorEastAsia" w:cstheme="minorEastAsia"/>
          <w:b/>
          <w:bCs/>
          <w:color w:val="auto"/>
          <w:sz w:val="24"/>
          <w:szCs w:val="24"/>
          <w:highlight w:val="none"/>
          <w:lang w:eastAsia="zh-CN"/>
        </w:rPr>
        <w:t>部门整体支出绩效情况</w:t>
      </w:r>
    </w:p>
    <w:p>
      <w:pPr>
        <w:pStyle w:val="14"/>
        <w:keepNext w:val="0"/>
        <w:keepLines w:val="0"/>
        <w:pageBreakBefore w:val="0"/>
        <w:widowControl/>
        <w:kinsoku/>
        <w:wordWrap/>
        <w:overflowPunct/>
        <w:topLinePunct w:val="0"/>
        <w:autoSpaceDE/>
        <w:autoSpaceDN/>
        <w:bidi w:val="0"/>
        <w:adjustRightInd/>
        <w:snapToGrid/>
        <w:spacing w:before="185" w:beforeLines="50" w:line="360" w:lineRule="auto"/>
        <w:ind w:left="0" w:leftChars="0" w:firstLine="422" w:firstLineChars="175"/>
        <w:textAlignment w:val="auto"/>
        <w:rPr>
          <w:rFonts w:hint="eastAsia"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t>（一）绩效自评目的、对象和范围</w:t>
      </w:r>
    </w:p>
    <w:p>
      <w:pPr>
        <w:keepNext w:val="0"/>
        <w:keepLines w:val="0"/>
        <w:pageBreakBefore w:val="0"/>
        <w:widowControl w:val="0"/>
        <w:kinsoku/>
        <w:wordWrap/>
        <w:overflowPunct/>
        <w:topLinePunct w:val="0"/>
        <w:autoSpaceDE/>
        <w:autoSpaceDN/>
        <w:bidi w:val="0"/>
        <w:adjustRightInd/>
        <w:snapToGrid/>
        <w:spacing w:after="183" w:afterLines="50"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根据《湘西自治州财政局关于开展2020年度州直预算部门（单位）整体支出绩效自评工作的通知》（州财绩〔2021〕8号）要求，就本局2020年度预算编制、执行、资金管理使用实际效果、绩效自评等及时、全面的开展绩效自评工作。对本年度资金使用情况、日常组织管理情况、绩效目标及完成情况进行自我衡量，了解资金使用是否达到预期目标、资金管理是否规范、资金使用是否有效，检验资金支出效率和效果，分析存在问题和原因，及时总结经验，完善管理，有效提高资金管理水平和使用效益。</w:t>
      </w:r>
    </w:p>
    <w:p>
      <w:pPr>
        <w:pStyle w:val="14"/>
        <w:keepNext w:val="0"/>
        <w:keepLines w:val="0"/>
        <w:pageBreakBefore w:val="0"/>
        <w:widowControl/>
        <w:kinsoku/>
        <w:wordWrap/>
        <w:overflowPunct/>
        <w:topLinePunct w:val="0"/>
        <w:autoSpaceDE/>
        <w:autoSpaceDN/>
        <w:bidi w:val="0"/>
        <w:adjustRightInd/>
        <w:snapToGrid/>
        <w:spacing w:before="185" w:beforeLines="50" w:line="360" w:lineRule="auto"/>
        <w:ind w:left="0" w:leftChars="0" w:firstLine="422" w:firstLineChars="175"/>
        <w:textAlignment w:val="auto"/>
        <w:rPr>
          <w:rFonts w:hint="eastAsia"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t>（二）绩效自评原则、依据、评价方法</w:t>
      </w:r>
    </w:p>
    <w:p>
      <w:pPr>
        <w:spacing w:line="600" w:lineRule="exact"/>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遵循的原则：</w:t>
      </w:r>
      <w:r>
        <w:rPr>
          <w:rFonts w:hint="eastAsia" w:asciiTheme="minorEastAsia" w:hAnsiTheme="minorEastAsia" w:eastAsiaTheme="minorEastAsia" w:cstheme="minorEastAsia"/>
          <w:color w:val="auto"/>
          <w:sz w:val="24"/>
          <w:szCs w:val="24"/>
          <w:highlight w:val="none"/>
        </w:rPr>
        <w:t>本次绩效自评遵循科学公正、统筹兼顾、激励约束、公开透明的基本原则。</w:t>
      </w:r>
    </w:p>
    <w:p>
      <w:pPr>
        <w:spacing w:line="600" w:lineRule="exact"/>
        <w:ind w:firstLine="480" w:firstLineChars="200"/>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rPr>
        <w:t>2</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自评</w:t>
      </w:r>
      <w:r>
        <w:rPr>
          <w:rFonts w:hint="eastAsia" w:asciiTheme="minorEastAsia" w:hAnsiTheme="minorEastAsia" w:eastAsiaTheme="minorEastAsia" w:cstheme="minorEastAsia"/>
          <w:color w:val="auto"/>
          <w:sz w:val="24"/>
          <w:szCs w:val="24"/>
          <w:highlight w:val="none"/>
        </w:rPr>
        <w:t>依据</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本次绩效评价的主要依据</w:t>
      </w:r>
      <w:r>
        <w:rPr>
          <w:rFonts w:hint="eastAsia" w:asciiTheme="minorEastAsia" w:hAnsiTheme="minorEastAsia" w:eastAsiaTheme="minorEastAsia" w:cstheme="minorEastAsia"/>
          <w:color w:val="auto"/>
          <w:sz w:val="24"/>
          <w:szCs w:val="24"/>
          <w:highlight w:val="none"/>
          <w:lang w:val="en-US" w:eastAsia="zh-CN"/>
        </w:rPr>
        <w:t>如下:</w:t>
      </w:r>
    </w:p>
    <w:p>
      <w:pPr>
        <w:spacing w:line="600" w:lineRule="exact"/>
        <w:ind w:firstLine="480" w:firstLineChars="20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rPr>
        <w:t>（1）《中华人民共和国预算法》、国家其他相关法律、法规和规章制度</w:t>
      </w:r>
      <w:r>
        <w:rPr>
          <w:rFonts w:hint="eastAsia" w:asciiTheme="minorEastAsia" w:hAnsiTheme="minorEastAsia" w:eastAsiaTheme="minorEastAsia" w:cstheme="minorEastAsia"/>
          <w:color w:val="auto"/>
          <w:sz w:val="24"/>
          <w:szCs w:val="24"/>
          <w:highlight w:val="none"/>
          <w:lang w:eastAsia="zh-CN"/>
        </w:rPr>
        <w:t>；</w:t>
      </w:r>
    </w:p>
    <w:p>
      <w:pPr>
        <w:spacing w:line="600" w:lineRule="exact"/>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lang w:eastAsia="zh-CN"/>
        </w:rPr>
        <w:t>）《湖南省财政厅关于印发&lt;湖南省预算 支出绩效评价管理办法&gt;的通知》(湘财绩〔2020〕7号)、《湘西自治州州级预算部门整体支出绩效自评操作规程》(州财绩〔2021〕6号)、</w:t>
      </w:r>
      <w:r>
        <w:rPr>
          <w:rFonts w:hint="eastAsia" w:asciiTheme="minorEastAsia" w:hAnsiTheme="minorEastAsia" w:eastAsiaTheme="minorEastAsia" w:cstheme="minorEastAsia"/>
          <w:color w:val="auto"/>
          <w:sz w:val="24"/>
          <w:szCs w:val="24"/>
          <w:highlight w:val="none"/>
        </w:rPr>
        <w:t>《湘西自治州财政局关于开展202</w:t>
      </w:r>
      <w:r>
        <w:rPr>
          <w:rFonts w:hint="eastAsia" w:asciiTheme="minorEastAsia" w:hAnsiTheme="minorEastAsia" w:eastAsiaTheme="minorEastAsia" w:cstheme="minorEastAsia"/>
          <w:color w:val="auto"/>
          <w:sz w:val="24"/>
          <w:szCs w:val="24"/>
          <w:highlight w:val="none"/>
          <w:lang w:val="en-US" w:eastAsia="zh-CN"/>
        </w:rPr>
        <w:t>1</w:t>
      </w:r>
      <w:r>
        <w:rPr>
          <w:rFonts w:hint="eastAsia" w:asciiTheme="minorEastAsia" w:hAnsiTheme="minorEastAsia" w:eastAsiaTheme="minorEastAsia" w:cstheme="minorEastAsia"/>
          <w:color w:val="auto"/>
          <w:sz w:val="24"/>
          <w:szCs w:val="24"/>
          <w:highlight w:val="none"/>
        </w:rPr>
        <w:t>年度州直预算部门（单位）整体支出绩效自评工作的通知》（州财绩〔202</w:t>
      </w: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9</w:t>
      </w:r>
      <w:r>
        <w:rPr>
          <w:rFonts w:hint="eastAsia" w:asciiTheme="minorEastAsia" w:hAnsiTheme="minorEastAsia" w:eastAsiaTheme="minorEastAsia" w:cstheme="minorEastAsia"/>
          <w:color w:val="auto"/>
          <w:sz w:val="24"/>
          <w:szCs w:val="24"/>
          <w:highlight w:val="none"/>
        </w:rPr>
        <w:t>号）；</w:t>
      </w:r>
    </w:p>
    <w:p>
      <w:pPr>
        <w:spacing w:line="600" w:lineRule="exact"/>
        <w:ind w:firstLine="480" w:firstLineChars="20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rPr>
        <w:t>）预算管理和绩效评价相关制度和文件</w:t>
      </w:r>
      <w:r>
        <w:rPr>
          <w:rFonts w:hint="eastAsia" w:asciiTheme="minorEastAsia" w:hAnsiTheme="minorEastAsia" w:eastAsiaTheme="minorEastAsia" w:cstheme="minorEastAsia"/>
          <w:color w:val="auto"/>
          <w:sz w:val="24"/>
          <w:szCs w:val="24"/>
          <w:highlight w:val="none"/>
          <w:lang w:eastAsia="zh-CN"/>
        </w:rPr>
        <w:t>；</w:t>
      </w:r>
    </w:p>
    <w:p>
      <w:pPr>
        <w:spacing w:line="600" w:lineRule="exact"/>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4</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湘西自治州工业和信息化局202</w:t>
      </w:r>
      <w:r>
        <w:rPr>
          <w:rFonts w:hint="eastAsia" w:asciiTheme="minorEastAsia" w:hAnsiTheme="minorEastAsia" w:eastAsiaTheme="minorEastAsia" w:cstheme="minorEastAsia"/>
          <w:color w:val="auto"/>
          <w:sz w:val="24"/>
          <w:szCs w:val="24"/>
          <w:highlight w:val="none"/>
          <w:lang w:val="en-US" w:eastAsia="zh-CN"/>
        </w:rPr>
        <w:t>1</w:t>
      </w:r>
      <w:r>
        <w:rPr>
          <w:rFonts w:hint="eastAsia" w:asciiTheme="minorEastAsia" w:hAnsiTheme="minorEastAsia" w:eastAsiaTheme="minorEastAsia" w:cstheme="minorEastAsia"/>
          <w:color w:val="auto"/>
          <w:sz w:val="24"/>
          <w:szCs w:val="24"/>
          <w:highlight w:val="none"/>
        </w:rPr>
        <w:t>年主要工作任务。</w:t>
      </w:r>
    </w:p>
    <w:p>
      <w:pPr>
        <w:spacing w:line="600" w:lineRule="exact"/>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rPr>
        <w:t>）湘西自治州工业和信息化局部门职责职能。</w:t>
      </w:r>
    </w:p>
    <w:p>
      <w:pPr>
        <w:spacing w:line="600" w:lineRule="exact"/>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评价方法</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本次绩效评价</w:t>
      </w:r>
      <w:r>
        <w:rPr>
          <w:rFonts w:hint="eastAsia" w:asciiTheme="minorEastAsia" w:hAnsiTheme="minorEastAsia" w:eastAsiaTheme="minorEastAsia" w:cstheme="minorEastAsia"/>
          <w:color w:val="auto"/>
          <w:sz w:val="24"/>
          <w:szCs w:val="24"/>
          <w:highlight w:val="none"/>
          <w:lang w:val="en-US" w:eastAsia="zh-CN"/>
        </w:rPr>
        <w:t>方式</w:t>
      </w:r>
      <w:r>
        <w:rPr>
          <w:rFonts w:hint="eastAsia" w:asciiTheme="minorEastAsia" w:hAnsiTheme="minorEastAsia" w:eastAsiaTheme="minorEastAsia" w:cstheme="minorEastAsia"/>
          <w:color w:val="auto"/>
          <w:sz w:val="24"/>
          <w:szCs w:val="24"/>
          <w:highlight w:val="none"/>
        </w:rPr>
        <w:t>为本局自评。</w:t>
      </w:r>
    </w:p>
    <w:p>
      <w:pPr>
        <w:pStyle w:val="14"/>
        <w:keepNext w:val="0"/>
        <w:keepLines w:val="0"/>
        <w:pageBreakBefore w:val="0"/>
        <w:widowControl/>
        <w:kinsoku/>
        <w:wordWrap/>
        <w:overflowPunct/>
        <w:topLinePunct w:val="0"/>
        <w:autoSpaceDE/>
        <w:autoSpaceDN/>
        <w:bidi w:val="0"/>
        <w:adjustRightInd/>
        <w:snapToGrid/>
        <w:spacing w:before="185" w:beforeLines="50" w:line="360" w:lineRule="auto"/>
        <w:ind w:left="0" w:leftChars="0" w:firstLine="422" w:firstLineChars="175"/>
        <w:textAlignment w:val="auto"/>
        <w:rPr>
          <w:rFonts w:hint="eastAsia"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t xml:space="preserve">（三）部门整体支出绩效目标完成情况 </w:t>
      </w:r>
    </w:p>
    <w:p>
      <w:pPr>
        <w:spacing w:line="580" w:lineRule="exact"/>
        <w:ind w:firstLine="480" w:firstLineChars="200"/>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color w:val="auto"/>
          <w:sz w:val="24"/>
          <w:szCs w:val="24"/>
          <w:highlight w:val="none"/>
        </w:rPr>
        <w:t>在州委、州政府的坚强领导下，全州工信系统扎实做好“六稳”、“六保”工作，全面提升服务制造业高质量发展的能力和水平</w:t>
      </w:r>
      <w:r>
        <w:rPr>
          <w:rFonts w:hint="eastAsia" w:asciiTheme="minorEastAsia" w:hAnsiTheme="minorEastAsia" w:eastAsiaTheme="minorEastAsia" w:cstheme="minorEastAsia"/>
          <w:color w:val="auto"/>
          <w:sz w:val="24"/>
          <w:szCs w:val="24"/>
          <w:highlight w:val="none"/>
          <w:lang w:eastAsia="zh-CN"/>
        </w:rPr>
        <w:t>，着力推动制造业高质量发展行稳致远；以机制体制改革创新为动力，推进现代园区体系建设；以优势产业链建设为引领，推进现代产业体系建设。</w:t>
      </w:r>
      <w:r>
        <w:rPr>
          <w:rFonts w:hint="eastAsia" w:asciiTheme="minorEastAsia" w:hAnsiTheme="minorEastAsia" w:eastAsiaTheme="minorEastAsia" w:cstheme="minorEastAsia"/>
          <w:color w:val="auto"/>
          <w:sz w:val="24"/>
          <w:szCs w:val="24"/>
          <w:highlight w:val="none"/>
        </w:rPr>
        <w:t>部门整体支出情况如下：</w:t>
      </w:r>
    </w:p>
    <w:p>
      <w:pPr>
        <w:spacing w:line="540" w:lineRule="exact"/>
        <w:ind w:firstLine="480" w:firstLineChars="200"/>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color w:val="auto"/>
          <w:sz w:val="24"/>
          <w:szCs w:val="24"/>
          <w:highlight w:val="none"/>
        </w:rPr>
        <w:t>202</w:t>
      </w:r>
      <w:r>
        <w:rPr>
          <w:rFonts w:hint="eastAsia" w:asciiTheme="minorEastAsia" w:hAnsiTheme="minorEastAsia" w:eastAsiaTheme="minorEastAsia" w:cstheme="minorEastAsia"/>
          <w:color w:val="auto"/>
          <w:sz w:val="24"/>
          <w:szCs w:val="24"/>
          <w:highlight w:val="none"/>
          <w:lang w:val="en-US" w:eastAsia="zh-CN"/>
        </w:rPr>
        <w:t>1</w:t>
      </w:r>
      <w:r>
        <w:rPr>
          <w:rFonts w:hint="eastAsia" w:asciiTheme="minorEastAsia" w:hAnsiTheme="minorEastAsia" w:eastAsiaTheme="minorEastAsia" w:cstheme="minorEastAsia"/>
          <w:color w:val="auto"/>
          <w:sz w:val="24"/>
          <w:szCs w:val="24"/>
          <w:highlight w:val="none"/>
        </w:rPr>
        <w:t>年收入总额</w:t>
      </w:r>
      <w:r>
        <w:rPr>
          <w:rFonts w:hint="eastAsia" w:asciiTheme="minorEastAsia" w:hAnsiTheme="minorEastAsia" w:eastAsiaTheme="minorEastAsia" w:cstheme="minorEastAsia"/>
          <w:color w:val="auto"/>
          <w:sz w:val="24"/>
          <w:szCs w:val="24"/>
          <w:highlight w:val="none"/>
          <w:lang w:val="en-US" w:eastAsia="zh-CN"/>
        </w:rPr>
        <w:t>5205.51</w:t>
      </w:r>
      <w:r>
        <w:rPr>
          <w:rFonts w:hint="eastAsia" w:asciiTheme="minorEastAsia" w:hAnsiTheme="minorEastAsia" w:eastAsiaTheme="minorEastAsia" w:cstheme="minorEastAsia"/>
          <w:color w:val="auto"/>
          <w:sz w:val="24"/>
          <w:szCs w:val="24"/>
          <w:highlight w:val="none"/>
        </w:rPr>
        <w:t>万元</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较20</w:t>
      </w:r>
      <w:r>
        <w:rPr>
          <w:rFonts w:hint="eastAsia" w:asciiTheme="minorEastAsia" w:hAnsiTheme="minorEastAsia" w:eastAsiaTheme="minorEastAsia" w:cstheme="minorEastAsia"/>
          <w:color w:val="auto"/>
          <w:sz w:val="24"/>
          <w:szCs w:val="24"/>
          <w:highlight w:val="none"/>
          <w:lang w:val="en-US" w:eastAsia="zh-CN"/>
        </w:rPr>
        <w:t>20</w:t>
      </w:r>
      <w:r>
        <w:rPr>
          <w:rFonts w:hint="eastAsia" w:asciiTheme="minorEastAsia" w:hAnsiTheme="minorEastAsia" w:eastAsiaTheme="minorEastAsia" w:cstheme="minorEastAsia"/>
          <w:color w:val="auto"/>
          <w:sz w:val="24"/>
          <w:szCs w:val="24"/>
          <w:highlight w:val="none"/>
        </w:rPr>
        <w:t>年收入8360.08万元</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减少3154.57</w:t>
      </w:r>
      <w:r>
        <w:rPr>
          <w:rFonts w:hint="eastAsia" w:asciiTheme="minorEastAsia" w:hAnsiTheme="minorEastAsia" w:eastAsiaTheme="minorEastAsia" w:cstheme="minorEastAsia"/>
          <w:color w:val="auto"/>
          <w:sz w:val="24"/>
          <w:szCs w:val="24"/>
          <w:highlight w:val="none"/>
        </w:rPr>
        <w:t>万元，一般公共预算财政拨款</w:t>
      </w:r>
      <w:r>
        <w:rPr>
          <w:rFonts w:hint="eastAsia" w:asciiTheme="minorEastAsia" w:hAnsiTheme="minorEastAsia" w:eastAsiaTheme="minorEastAsia" w:cstheme="minorEastAsia"/>
          <w:color w:val="auto"/>
          <w:sz w:val="24"/>
          <w:szCs w:val="24"/>
          <w:highlight w:val="none"/>
          <w:lang w:val="en-US" w:eastAsia="zh-CN"/>
        </w:rPr>
        <w:t>4679.80</w:t>
      </w:r>
      <w:r>
        <w:rPr>
          <w:rFonts w:hint="eastAsia" w:asciiTheme="minorEastAsia" w:hAnsiTheme="minorEastAsia" w:eastAsiaTheme="minorEastAsia" w:cstheme="minorEastAsia"/>
          <w:color w:val="auto"/>
          <w:sz w:val="24"/>
          <w:szCs w:val="24"/>
          <w:highlight w:val="none"/>
        </w:rPr>
        <w:t>万元</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较20</w:t>
      </w:r>
      <w:r>
        <w:rPr>
          <w:rFonts w:hint="eastAsia" w:asciiTheme="minorEastAsia" w:hAnsiTheme="minorEastAsia" w:eastAsiaTheme="minorEastAsia" w:cstheme="minorEastAsia"/>
          <w:color w:val="auto"/>
          <w:sz w:val="24"/>
          <w:szCs w:val="24"/>
          <w:highlight w:val="none"/>
          <w:lang w:val="en-US" w:eastAsia="zh-CN"/>
        </w:rPr>
        <w:t>20</w:t>
      </w:r>
      <w:r>
        <w:rPr>
          <w:rFonts w:hint="eastAsia" w:asciiTheme="minorEastAsia" w:hAnsiTheme="minorEastAsia" w:eastAsiaTheme="minorEastAsia" w:cstheme="minorEastAsia"/>
          <w:color w:val="auto"/>
          <w:sz w:val="24"/>
          <w:szCs w:val="24"/>
          <w:highlight w:val="none"/>
        </w:rPr>
        <w:t>年拨款收入8054.46万元</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减少3374.66</w:t>
      </w:r>
      <w:r>
        <w:rPr>
          <w:rFonts w:hint="eastAsia" w:asciiTheme="minorEastAsia" w:hAnsiTheme="minorEastAsia" w:eastAsiaTheme="minorEastAsia" w:cstheme="minorEastAsia"/>
          <w:color w:val="auto"/>
          <w:sz w:val="24"/>
          <w:szCs w:val="24"/>
          <w:highlight w:val="none"/>
        </w:rPr>
        <w:t>万元，</w:t>
      </w:r>
      <w:r>
        <w:rPr>
          <w:rFonts w:hint="eastAsia" w:asciiTheme="minorEastAsia" w:hAnsiTheme="minorEastAsia" w:eastAsiaTheme="minorEastAsia" w:cstheme="minorEastAsia"/>
          <w:color w:val="auto"/>
          <w:sz w:val="24"/>
          <w:szCs w:val="24"/>
          <w:highlight w:val="none"/>
          <w:lang w:val="en-US" w:eastAsia="zh-CN"/>
        </w:rPr>
        <w:t>降低41.89</w:t>
      </w:r>
      <w:r>
        <w:rPr>
          <w:rFonts w:hint="eastAsia" w:asciiTheme="minorEastAsia" w:hAnsiTheme="minorEastAsia" w:eastAsiaTheme="minorEastAsia" w:cstheme="minorEastAsia"/>
          <w:color w:val="auto"/>
          <w:sz w:val="24"/>
          <w:szCs w:val="24"/>
          <w:highlight w:val="none"/>
        </w:rPr>
        <w:t>%；本年支出总计</w:t>
      </w:r>
      <w:r>
        <w:rPr>
          <w:rFonts w:hint="eastAsia" w:asciiTheme="minorEastAsia" w:hAnsiTheme="minorEastAsia" w:eastAsiaTheme="minorEastAsia" w:cstheme="minorEastAsia"/>
          <w:color w:val="auto"/>
          <w:sz w:val="24"/>
          <w:szCs w:val="24"/>
          <w:highlight w:val="none"/>
          <w:lang w:val="en-US" w:eastAsia="zh-CN"/>
        </w:rPr>
        <w:t>6568.25</w:t>
      </w:r>
      <w:r>
        <w:rPr>
          <w:rFonts w:hint="eastAsia" w:asciiTheme="minorEastAsia" w:hAnsiTheme="minorEastAsia" w:eastAsiaTheme="minorEastAsia" w:cstheme="minorEastAsia"/>
          <w:color w:val="auto"/>
          <w:sz w:val="24"/>
          <w:szCs w:val="24"/>
          <w:highlight w:val="none"/>
        </w:rPr>
        <w:t>万元，较20</w:t>
      </w:r>
      <w:r>
        <w:rPr>
          <w:rFonts w:hint="eastAsia" w:asciiTheme="minorEastAsia" w:hAnsiTheme="minorEastAsia" w:eastAsiaTheme="minorEastAsia" w:cstheme="minorEastAsia"/>
          <w:color w:val="auto"/>
          <w:sz w:val="24"/>
          <w:szCs w:val="24"/>
          <w:highlight w:val="none"/>
          <w:lang w:val="en-US" w:eastAsia="zh-CN"/>
        </w:rPr>
        <w:t>20</w:t>
      </w:r>
      <w:r>
        <w:rPr>
          <w:rFonts w:hint="eastAsia" w:asciiTheme="minorEastAsia" w:hAnsiTheme="minorEastAsia" w:eastAsiaTheme="minorEastAsia" w:cstheme="minorEastAsia"/>
          <w:color w:val="auto"/>
          <w:sz w:val="24"/>
          <w:szCs w:val="24"/>
          <w:highlight w:val="none"/>
        </w:rPr>
        <w:t>年支出7886.36万元</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减少1318.11</w:t>
      </w:r>
      <w:r>
        <w:rPr>
          <w:rFonts w:hint="eastAsia" w:asciiTheme="minorEastAsia" w:hAnsiTheme="minorEastAsia" w:eastAsiaTheme="minorEastAsia" w:cstheme="minorEastAsia"/>
          <w:color w:val="auto"/>
          <w:sz w:val="24"/>
          <w:szCs w:val="24"/>
          <w:highlight w:val="none"/>
        </w:rPr>
        <w:t>万元，</w:t>
      </w:r>
      <w:r>
        <w:rPr>
          <w:rFonts w:hint="eastAsia" w:asciiTheme="minorEastAsia" w:hAnsiTheme="minorEastAsia" w:eastAsiaTheme="minorEastAsia" w:cstheme="minorEastAsia"/>
          <w:color w:val="auto"/>
          <w:sz w:val="24"/>
          <w:szCs w:val="24"/>
          <w:highlight w:val="none"/>
          <w:lang w:val="en-US" w:eastAsia="zh-CN"/>
        </w:rPr>
        <w:t>降低16.71</w:t>
      </w:r>
      <w:r>
        <w:rPr>
          <w:rFonts w:hint="eastAsia" w:asciiTheme="minorEastAsia" w:hAnsiTheme="minorEastAsia" w:eastAsiaTheme="minorEastAsia" w:cstheme="minorEastAsia"/>
          <w:color w:val="auto"/>
          <w:sz w:val="24"/>
          <w:szCs w:val="24"/>
          <w:highlight w:val="none"/>
        </w:rPr>
        <w:t>%。本年本部门</w:t>
      </w:r>
      <w:r>
        <w:rPr>
          <w:rFonts w:hint="eastAsia" w:asciiTheme="minorEastAsia" w:hAnsiTheme="minorEastAsia" w:eastAsiaTheme="minorEastAsia" w:cstheme="minorEastAsia"/>
          <w:color w:val="auto"/>
          <w:sz w:val="24"/>
          <w:szCs w:val="24"/>
          <w:highlight w:val="none"/>
          <w:lang w:val="en-US" w:eastAsia="zh-CN"/>
        </w:rPr>
        <w:t>严格</w:t>
      </w:r>
      <w:r>
        <w:rPr>
          <w:rFonts w:hint="eastAsia" w:asciiTheme="minorEastAsia" w:hAnsiTheme="minorEastAsia" w:eastAsiaTheme="minorEastAsia" w:cstheme="minorEastAsia"/>
          <w:color w:val="auto"/>
          <w:sz w:val="24"/>
          <w:szCs w:val="24"/>
          <w:highlight w:val="none"/>
        </w:rPr>
        <w:t>贯彻</w:t>
      </w:r>
      <w:r>
        <w:rPr>
          <w:rFonts w:hint="eastAsia" w:asciiTheme="minorEastAsia" w:hAnsiTheme="minorEastAsia" w:eastAsiaTheme="minorEastAsia" w:cstheme="minorEastAsia"/>
          <w:color w:val="auto"/>
          <w:sz w:val="24"/>
          <w:szCs w:val="24"/>
          <w:highlight w:val="none"/>
          <w:lang w:val="en-US" w:eastAsia="zh-CN"/>
        </w:rPr>
        <w:t>落实</w:t>
      </w:r>
      <w:r>
        <w:rPr>
          <w:rFonts w:hint="eastAsia" w:asciiTheme="minorEastAsia" w:hAnsiTheme="minorEastAsia" w:eastAsiaTheme="minorEastAsia" w:cstheme="minorEastAsia"/>
          <w:color w:val="auto"/>
          <w:sz w:val="24"/>
          <w:szCs w:val="24"/>
          <w:highlight w:val="none"/>
        </w:rPr>
        <w:t>中央八项规定，本年</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三公经费</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支出较上年减少</w:t>
      </w:r>
      <w:r>
        <w:rPr>
          <w:rFonts w:hint="eastAsia" w:asciiTheme="minorEastAsia" w:hAnsiTheme="minorEastAsia" w:eastAsiaTheme="minorEastAsia" w:cstheme="minorEastAsia"/>
          <w:color w:val="auto"/>
          <w:sz w:val="24"/>
          <w:szCs w:val="24"/>
          <w:highlight w:val="none"/>
          <w:lang w:val="en-US" w:eastAsia="zh-CN"/>
        </w:rPr>
        <w:t>2.92</w:t>
      </w:r>
      <w:r>
        <w:rPr>
          <w:rFonts w:hint="eastAsia" w:asciiTheme="minorEastAsia" w:hAnsiTheme="minorEastAsia" w:eastAsiaTheme="minorEastAsia" w:cstheme="minorEastAsia"/>
          <w:color w:val="auto"/>
          <w:sz w:val="24"/>
          <w:szCs w:val="24"/>
          <w:highlight w:val="none"/>
        </w:rPr>
        <w:t>万元；项目支出较上年</w:t>
      </w:r>
      <w:r>
        <w:rPr>
          <w:rFonts w:hint="eastAsia" w:asciiTheme="minorEastAsia" w:hAnsiTheme="minorEastAsia" w:eastAsiaTheme="minorEastAsia" w:cstheme="minorEastAsia"/>
          <w:color w:val="auto"/>
          <w:sz w:val="24"/>
          <w:szCs w:val="24"/>
          <w:highlight w:val="none"/>
          <w:lang w:val="en-US" w:eastAsia="zh-CN"/>
        </w:rPr>
        <w:t>减少1357.80</w:t>
      </w:r>
      <w:r>
        <w:rPr>
          <w:rFonts w:hint="eastAsia" w:asciiTheme="minorEastAsia" w:hAnsiTheme="minorEastAsia" w:eastAsiaTheme="minorEastAsia" w:cstheme="minorEastAsia"/>
          <w:color w:val="auto"/>
          <w:sz w:val="24"/>
          <w:szCs w:val="24"/>
          <w:highlight w:val="none"/>
        </w:rPr>
        <w:t>万元。</w:t>
      </w:r>
    </w:p>
    <w:p>
      <w:pPr>
        <w:pStyle w:val="14"/>
        <w:keepNext w:val="0"/>
        <w:keepLines w:val="0"/>
        <w:pageBreakBefore w:val="0"/>
        <w:widowControl/>
        <w:kinsoku/>
        <w:wordWrap/>
        <w:overflowPunct/>
        <w:topLinePunct w:val="0"/>
        <w:autoSpaceDE/>
        <w:autoSpaceDN/>
        <w:bidi w:val="0"/>
        <w:adjustRightInd/>
        <w:snapToGrid/>
        <w:spacing w:before="185" w:beforeLines="50" w:line="360" w:lineRule="auto"/>
        <w:ind w:left="0" w:leftChars="0" w:firstLine="241" w:firstLineChars="100"/>
        <w:textAlignment w:val="auto"/>
        <w:rPr>
          <w:rFonts w:hint="eastAsia"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t>（四）绩效评价情况</w:t>
      </w:r>
    </w:p>
    <w:p>
      <w:pPr>
        <w:pStyle w:val="6"/>
        <w:widowControl/>
        <w:shd w:val="clear" w:color="auto" w:fill="FFFFFF"/>
        <w:spacing w:beforeAutospacing="0" w:afterAutospacing="0" w:line="360" w:lineRule="auto"/>
        <w:ind w:firstLine="241" w:firstLineChars="100"/>
        <w:jc w:val="both"/>
        <w:rPr>
          <w:rFonts w:hint="eastAsia" w:asciiTheme="minorEastAsia" w:hAnsiTheme="minorEastAsia" w:eastAsiaTheme="minorEastAsia" w:cstheme="minorEastAsia"/>
          <w:b/>
          <w:bCs/>
          <w:color w:val="auto"/>
          <w:kern w:val="2"/>
          <w:sz w:val="24"/>
          <w:szCs w:val="24"/>
          <w:highlight w:val="none"/>
          <w:lang w:bidi="ar"/>
        </w:rPr>
      </w:pPr>
      <w:r>
        <w:rPr>
          <w:rFonts w:hint="eastAsia" w:asciiTheme="minorEastAsia" w:hAnsiTheme="minorEastAsia" w:eastAsiaTheme="minorEastAsia" w:cstheme="minorEastAsia"/>
          <w:b/>
          <w:bCs/>
          <w:color w:val="auto"/>
          <w:sz w:val="24"/>
          <w:szCs w:val="24"/>
          <w:highlight w:val="none"/>
        </w:rPr>
        <w:t>1</w:t>
      </w: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rPr>
        <w:t>产出指标（50分）</w:t>
      </w:r>
    </w:p>
    <w:p>
      <w:pPr>
        <w:pStyle w:val="6"/>
        <w:widowControl/>
        <w:shd w:val="clear" w:color="auto" w:fill="FFFFFF"/>
        <w:spacing w:beforeAutospacing="0" w:afterAutospacing="0" w:line="360" w:lineRule="auto"/>
        <w:ind w:firstLine="241" w:firstLineChars="100"/>
        <w:jc w:val="both"/>
        <w:rPr>
          <w:rFonts w:hint="eastAsia" w:asciiTheme="minorEastAsia" w:hAnsiTheme="minorEastAsia" w:eastAsiaTheme="minorEastAsia" w:cstheme="minorEastAsia"/>
          <w:b/>
          <w:bCs/>
          <w:color w:val="auto"/>
          <w:kern w:val="2"/>
          <w:sz w:val="24"/>
          <w:szCs w:val="24"/>
          <w:highlight w:val="none"/>
          <w:lang w:bidi="ar"/>
        </w:rPr>
      </w:pPr>
      <w:r>
        <w:rPr>
          <w:rFonts w:hint="eastAsia" w:asciiTheme="minorEastAsia" w:hAnsiTheme="minorEastAsia" w:eastAsiaTheme="minorEastAsia" w:cstheme="minorEastAsia"/>
          <w:b/>
          <w:bCs/>
          <w:color w:val="auto"/>
          <w:kern w:val="2"/>
          <w:sz w:val="24"/>
          <w:szCs w:val="24"/>
          <w:highlight w:val="none"/>
          <w:lang w:bidi="ar"/>
        </w:rPr>
        <w:t>1.1</w:t>
      </w:r>
      <w:bookmarkStart w:id="9" w:name="_Hlk74600334"/>
      <w:r>
        <w:rPr>
          <w:rFonts w:hint="eastAsia" w:asciiTheme="minorEastAsia" w:hAnsiTheme="minorEastAsia" w:eastAsiaTheme="minorEastAsia" w:cstheme="minorEastAsia"/>
          <w:b/>
          <w:bCs/>
          <w:color w:val="auto"/>
          <w:kern w:val="2"/>
          <w:sz w:val="24"/>
          <w:szCs w:val="24"/>
          <w:highlight w:val="none"/>
          <w:lang w:bidi="ar"/>
        </w:rPr>
        <w:t>数量指标</w:t>
      </w:r>
      <w:bookmarkEnd w:id="9"/>
      <w:r>
        <w:rPr>
          <w:rFonts w:hint="eastAsia" w:asciiTheme="minorEastAsia" w:hAnsiTheme="minorEastAsia" w:eastAsiaTheme="minorEastAsia" w:cstheme="minorEastAsia"/>
          <w:b/>
          <w:bCs/>
          <w:color w:val="auto"/>
          <w:kern w:val="2"/>
          <w:sz w:val="24"/>
          <w:szCs w:val="24"/>
          <w:highlight w:val="none"/>
          <w:lang w:bidi="ar"/>
        </w:rPr>
        <w:t>（1</w:t>
      </w:r>
      <w:r>
        <w:rPr>
          <w:rFonts w:hint="eastAsia" w:asciiTheme="minorEastAsia" w:hAnsiTheme="minorEastAsia" w:eastAsiaTheme="minorEastAsia" w:cstheme="minorEastAsia"/>
          <w:b/>
          <w:bCs/>
          <w:color w:val="auto"/>
          <w:kern w:val="2"/>
          <w:sz w:val="24"/>
          <w:szCs w:val="24"/>
          <w:highlight w:val="none"/>
          <w:lang w:val="en-US" w:eastAsia="zh-CN" w:bidi="ar"/>
        </w:rPr>
        <w:t>5</w:t>
      </w:r>
      <w:r>
        <w:rPr>
          <w:rFonts w:hint="eastAsia" w:asciiTheme="minorEastAsia" w:hAnsiTheme="minorEastAsia" w:eastAsiaTheme="minorEastAsia" w:cstheme="minorEastAsia"/>
          <w:b/>
          <w:bCs/>
          <w:color w:val="auto"/>
          <w:kern w:val="2"/>
          <w:sz w:val="24"/>
          <w:szCs w:val="24"/>
          <w:highlight w:val="none"/>
          <w:lang w:bidi="ar"/>
        </w:rPr>
        <w:t>分，得1</w:t>
      </w:r>
      <w:r>
        <w:rPr>
          <w:rFonts w:hint="eastAsia" w:asciiTheme="minorEastAsia" w:hAnsiTheme="minorEastAsia" w:eastAsiaTheme="minorEastAsia" w:cstheme="minorEastAsia"/>
          <w:b/>
          <w:bCs/>
          <w:color w:val="auto"/>
          <w:kern w:val="2"/>
          <w:sz w:val="24"/>
          <w:szCs w:val="24"/>
          <w:highlight w:val="none"/>
          <w:lang w:val="en-US" w:eastAsia="zh-CN" w:bidi="ar"/>
        </w:rPr>
        <w:t>5</w:t>
      </w:r>
      <w:r>
        <w:rPr>
          <w:rFonts w:hint="eastAsia" w:asciiTheme="minorEastAsia" w:hAnsiTheme="minorEastAsia" w:eastAsiaTheme="minorEastAsia" w:cstheme="minorEastAsia"/>
          <w:b/>
          <w:bCs/>
          <w:color w:val="auto"/>
          <w:kern w:val="2"/>
          <w:sz w:val="24"/>
          <w:szCs w:val="24"/>
          <w:highlight w:val="none"/>
          <w:lang w:bidi="ar"/>
        </w:rPr>
        <w:t>分）</w:t>
      </w:r>
    </w:p>
    <w:p>
      <w:pPr>
        <w:pStyle w:val="6"/>
        <w:widowControl/>
        <w:shd w:val="clear" w:color="auto" w:fill="FFFFFF"/>
        <w:spacing w:beforeAutospacing="0" w:afterAutospacing="0" w:line="360" w:lineRule="auto"/>
        <w:jc w:val="both"/>
        <w:rPr>
          <w:rFonts w:hint="eastAsia" w:asciiTheme="minorEastAsia" w:hAnsiTheme="minorEastAsia" w:eastAsiaTheme="minorEastAsia" w:cstheme="minorEastAsia"/>
          <w:color w:val="auto"/>
          <w:kern w:val="2"/>
          <w:sz w:val="24"/>
          <w:szCs w:val="24"/>
          <w:highlight w:val="none"/>
        </w:rPr>
      </w:pPr>
      <w:r>
        <w:rPr>
          <w:rFonts w:hint="eastAsia" w:asciiTheme="minorEastAsia" w:hAnsiTheme="minorEastAsia" w:eastAsiaTheme="minorEastAsia" w:cstheme="minorEastAsia"/>
          <w:color w:val="auto"/>
          <w:kern w:val="2"/>
          <w:sz w:val="24"/>
          <w:szCs w:val="24"/>
          <w:highlight w:val="none"/>
        </w:rPr>
        <w:t>（1）工业增加值。全州完成全部工业增加值增</w:t>
      </w:r>
      <w:r>
        <w:rPr>
          <w:rFonts w:hint="eastAsia" w:asciiTheme="minorEastAsia" w:hAnsiTheme="minorEastAsia" w:eastAsiaTheme="minorEastAsia" w:cstheme="minorEastAsia"/>
          <w:color w:val="auto"/>
          <w:kern w:val="2"/>
          <w:sz w:val="24"/>
          <w:szCs w:val="24"/>
          <w:highlight w:val="none"/>
          <w:lang w:val="en-US" w:eastAsia="zh-CN"/>
        </w:rPr>
        <w:t>速18.1</w:t>
      </w:r>
      <w:r>
        <w:rPr>
          <w:rFonts w:hint="eastAsia" w:asciiTheme="minorEastAsia" w:hAnsiTheme="minorEastAsia" w:eastAsiaTheme="minorEastAsia" w:cstheme="minorEastAsia"/>
          <w:color w:val="auto"/>
          <w:kern w:val="2"/>
          <w:sz w:val="24"/>
          <w:szCs w:val="24"/>
          <w:highlight w:val="none"/>
        </w:rPr>
        <w:t>%。</w:t>
      </w:r>
    </w:p>
    <w:p>
      <w:pPr>
        <w:pStyle w:val="6"/>
        <w:widowControl/>
        <w:shd w:val="clear" w:color="auto" w:fill="FFFFFF"/>
        <w:spacing w:beforeAutospacing="0" w:afterAutospacing="0" w:line="360" w:lineRule="auto"/>
        <w:jc w:val="both"/>
        <w:rPr>
          <w:rFonts w:hint="eastAsia" w:asciiTheme="minorEastAsia" w:hAnsiTheme="minorEastAsia" w:eastAsiaTheme="minorEastAsia" w:cstheme="minorEastAsia"/>
          <w:color w:val="auto"/>
          <w:kern w:val="2"/>
          <w:sz w:val="24"/>
          <w:szCs w:val="24"/>
          <w:highlight w:val="none"/>
        </w:rPr>
      </w:pPr>
      <w:r>
        <w:rPr>
          <w:rFonts w:hint="eastAsia" w:asciiTheme="minorEastAsia" w:hAnsiTheme="minorEastAsia" w:eastAsiaTheme="minorEastAsia" w:cstheme="minorEastAsia"/>
          <w:color w:val="auto"/>
          <w:kern w:val="2"/>
          <w:sz w:val="24"/>
          <w:szCs w:val="24"/>
          <w:highlight w:val="none"/>
        </w:rPr>
        <w:t>（2）新增入规企业。持之以恒抓好企业入规工作，推动中小企业专精特新发展，不断激发企业发展活力。全年新增45家以上。</w:t>
      </w:r>
    </w:p>
    <w:p>
      <w:pPr>
        <w:pStyle w:val="6"/>
        <w:widowControl/>
        <w:shd w:val="clear" w:color="auto" w:fill="FFFFFF"/>
        <w:spacing w:beforeAutospacing="0" w:afterAutospacing="0" w:line="360" w:lineRule="auto"/>
        <w:jc w:val="both"/>
        <w:rPr>
          <w:rFonts w:hint="eastAsia" w:asciiTheme="minorEastAsia" w:hAnsiTheme="minorEastAsia" w:eastAsiaTheme="minorEastAsia" w:cstheme="minorEastAsia"/>
          <w:color w:val="auto"/>
          <w:kern w:val="2"/>
          <w:sz w:val="24"/>
          <w:szCs w:val="24"/>
          <w:highlight w:val="none"/>
        </w:rPr>
      </w:pPr>
      <w:r>
        <w:rPr>
          <w:rFonts w:hint="eastAsia" w:asciiTheme="minorEastAsia" w:hAnsiTheme="minorEastAsia" w:eastAsiaTheme="minorEastAsia" w:cstheme="minorEastAsia"/>
          <w:color w:val="auto"/>
          <w:kern w:val="2"/>
          <w:sz w:val="24"/>
          <w:szCs w:val="24"/>
          <w:highlight w:val="none"/>
        </w:rPr>
        <w:t>（3）招商引资。招引项目39个、投资总额125亿元，为工业经济发展注入新动能。</w:t>
      </w:r>
    </w:p>
    <w:p>
      <w:pPr>
        <w:pStyle w:val="6"/>
        <w:widowControl/>
        <w:shd w:val="clear" w:color="auto" w:fill="FFFFFF"/>
        <w:spacing w:beforeAutospacing="0" w:afterAutospacing="0" w:line="360" w:lineRule="auto"/>
        <w:jc w:val="both"/>
        <w:rPr>
          <w:rFonts w:hint="eastAsia" w:asciiTheme="minorEastAsia" w:hAnsiTheme="minorEastAsia" w:eastAsiaTheme="minorEastAsia" w:cstheme="minorEastAsia"/>
          <w:color w:val="auto"/>
          <w:kern w:val="2"/>
          <w:sz w:val="24"/>
          <w:szCs w:val="24"/>
          <w:highlight w:val="none"/>
        </w:rPr>
      </w:pPr>
      <w:r>
        <w:rPr>
          <w:rFonts w:hint="eastAsia" w:asciiTheme="minorEastAsia" w:hAnsiTheme="minorEastAsia" w:eastAsiaTheme="minorEastAsia" w:cstheme="minorEastAsia"/>
          <w:color w:val="auto"/>
          <w:kern w:val="2"/>
          <w:sz w:val="24"/>
          <w:szCs w:val="24"/>
          <w:highlight w:val="none"/>
        </w:rPr>
        <w:t>（4）完成工业投资。全州工业园区调规扩区工作取得积极进展，工业投资完成 80.1亿元、同比增长0.7%、两年平均增长18.2%，制造业投资完成56.5 亿元、同比增长11.8%。</w:t>
      </w:r>
    </w:p>
    <w:p>
      <w:pPr>
        <w:pStyle w:val="6"/>
        <w:widowControl/>
        <w:shd w:val="clear" w:color="auto" w:fill="FFFFFF"/>
        <w:spacing w:beforeAutospacing="0" w:afterAutospacing="0" w:line="360" w:lineRule="auto"/>
        <w:ind w:firstLine="241" w:firstLineChars="100"/>
        <w:jc w:val="both"/>
        <w:rPr>
          <w:rFonts w:hint="eastAsia" w:asciiTheme="minorEastAsia" w:hAnsiTheme="minorEastAsia" w:eastAsiaTheme="minorEastAsia" w:cstheme="minorEastAsia"/>
          <w:b/>
          <w:bCs/>
          <w:color w:val="auto"/>
          <w:kern w:val="2"/>
          <w:sz w:val="24"/>
          <w:szCs w:val="24"/>
          <w:highlight w:val="none"/>
          <w:lang w:bidi="ar"/>
        </w:rPr>
      </w:pPr>
      <w:r>
        <w:rPr>
          <w:rFonts w:hint="eastAsia" w:asciiTheme="minorEastAsia" w:hAnsiTheme="minorEastAsia" w:eastAsiaTheme="minorEastAsia" w:cstheme="minorEastAsia"/>
          <w:b/>
          <w:bCs/>
          <w:color w:val="auto"/>
          <w:kern w:val="2"/>
          <w:sz w:val="24"/>
          <w:szCs w:val="24"/>
          <w:highlight w:val="none"/>
          <w:lang w:bidi="ar"/>
        </w:rPr>
        <w:t>1.2</w:t>
      </w:r>
      <w:bookmarkStart w:id="10" w:name="_Hlk74600346"/>
      <w:r>
        <w:rPr>
          <w:rFonts w:hint="eastAsia" w:asciiTheme="minorEastAsia" w:hAnsiTheme="minorEastAsia" w:eastAsiaTheme="minorEastAsia" w:cstheme="minorEastAsia"/>
          <w:b/>
          <w:bCs/>
          <w:color w:val="auto"/>
          <w:kern w:val="2"/>
          <w:sz w:val="24"/>
          <w:szCs w:val="24"/>
          <w:highlight w:val="none"/>
          <w:lang w:bidi="ar"/>
        </w:rPr>
        <w:t>质量指标（1</w:t>
      </w:r>
      <w:r>
        <w:rPr>
          <w:rFonts w:hint="eastAsia" w:asciiTheme="minorEastAsia" w:hAnsiTheme="minorEastAsia" w:eastAsiaTheme="minorEastAsia" w:cstheme="minorEastAsia"/>
          <w:b/>
          <w:bCs/>
          <w:color w:val="auto"/>
          <w:kern w:val="2"/>
          <w:sz w:val="24"/>
          <w:szCs w:val="24"/>
          <w:highlight w:val="none"/>
          <w:lang w:val="en-US" w:eastAsia="zh-CN" w:bidi="ar"/>
        </w:rPr>
        <w:t>5</w:t>
      </w:r>
      <w:r>
        <w:rPr>
          <w:rFonts w:hint="eastAsia" w:asciiTheme="minorEastAsia" w:hAnsiTheme="minorEastAsia" w:eastAsiaTheme="minorEastAsia" w:cstheme="minorEastAsia"/>
          <w:b/>
          <w:bCs/>
          <w:color w:val="auto"/>
          <w:kern w:val="2"/>
          <w:sz w:val="24"/>
          <w:szCs w:val="24"/>
          <w:highlight w:val="none"/>
          <w:lang w:bidi="ar"/>
        </w:rPr>
        <w:t>分，得1</w:t>
      </w:r>
      <w:r>
        <w:rPr>
          <w:rFonts w:hint="eastAsia" w:asciiTheme="minorEastAsia" w:hAnsiTheme="minorEastAsia" w:eastAsiaTheme="minorEastAsia" w:cstheme="minorEastAsia"/>
          <w:b/>
          <w:bCs/>
          <w:color w:val="auto"/>
          <w:kern w:val="2"/>
          <w:sz w:val="24"/>
          <w:szCs w:val="24"/>
          <w:highlight w:val="none"/>
          <w:lang w:val="en-US" w:eastAsia="zh-CN" w:bidi="ar"/>
        </w:rPr>
        <w:t>5</w:t>
      </w:r>
      <w:r>
        <w:rPr>
          <w:rFonts w:hint="eastAsia" w:asciiTheme="minorEastAsia" w:hAnsiTheme="minorEastAsia" w:eastAsiaTheme="minorEastAsia" w:cstheme="minorEastAsia"/>
          <w:b/>
          <w:bCs/>
          <w:color w:val="auto"/>
          <w:kern w:val="2"/>
          <w:sz w:val="24"/>
          <w:szCs w:val="24"/>
          <w:highlight w:val="none"/>
          <w:lang w:bidi="ar"/>
        </w:rPr>
        <w:t>分）</w:t>
      </w:r>
    </w:p>
    <w:bookmarkEnd w:id="10"/>
    <w:p>
      <w:pPr>
        <w:pStyle w:val="6"/>
        <w:widowControl/>
        <w:shd w:val="clear" w:color="auto" w:fill="FFFFFF"/>
        <w:spacing w:beforeAutospacing="0" w:afterAutospacing="0" w:line="360" w:lineRule="auto"/>
        <w:jc w:val="both"/>
        <w:rPr>
          <w:rFonts w:hint="eastAsia" w:asciiTheme="minorEastAsia" w:hAnsiTheme="minorEastAsia" w:eastAsiaTheme="minorEastAsia" w:cstheme="minorEastAsia"/>
          <w:color w:val="auto"/>
          <w:kern w:val="2"/>
          <w:sz w:val="24"/>
          <w:szCs w:val="24"/>
          <w:highlight w:val="none"/>
        </w:rPr>
      </w:pPr>
      <w:r>
        <w:rPr>
          <w:rFonts w:hint="eastAsia" w:asciiTheme="minorEastAsia" w:hAnsiTheme="minorEastAsia" w:eastAsiaTheme="minorEastAsia" w:cstheme="minorEastAsia"/>
          <w:color w:val="auto"/>
          <w:kern w:val="2"/>
          <w:sz w:val="24"/>
          <w:szCs w:val="24"/>
          <w:highlight w:val="none"/>
        </w:rPr>
        <w:t>（1）预算资金使用到位率。202</w:t>
      </w:r>
      <w:r>
        <w:rPr>
          <w:rFonts w:hint="eastAsia" w:asciiTheme="minorEastAsia" w:hAnsiTheme="minorEastAsia" w:eastAsiaTheme="minorEastAsia" w:cstheme="minorEastAsia"/>
          <w:color w:val="auto"/>
          <w:kern w:val="2"/>
          <w:sz w:val="24"/>
          <w:szCs w:val="24"/>
          <w:highlight w:val="none"/>
          <w:lang w:val="en-US" w:eastAsia="zh-CN"/>
        </w:rPr>
        <w:t>1</w:t>
      </w:r>
      <w:r>
        <w:rPr>
          <w:rFonts w:hint="eastAsia" w:asciiTheme="minorEastAsia" w:hAnsiTheme="minorEastAsia" w:eastAsiaTheme="minorEastAsia" w:cstheme="minorEastAsia"/>
          <w:color w:val="auto"/>
          <w:kern w:val="2"/>
          <w:sz w:val="24"/>
          <w:szCs w:val="24"/>
          <w:highlight w:val="none"/>
        </w:rPr>
        <w:t>年财政预算资金</w:t>
      </w:r>
      <w:r>
        <w:rPr>
          <w:rFonts w:hint="eastAsia" w:asciiTheme="minorEastAsia" w:hAnsiTheme="minorEastAsia" w:eastAsiaTheme="minorEastAsia" w:cstheme="minorEastAsia"/>
          <w:color w:val="auto"/>
          <w:kern w:val="2"/>
          <w:sz w:val="24"/>
          <w:szCs w:val="24"/>
          <w:highlight w:val="none"/>
          <w:lang w:val="en-US" w:eastAsia="zh-CN"/>
        </w:rPr>
        <w:t>7020.73</w:t>
      </w:r>
      <w:r>
        <w:rPr>
          <w:rFonts w:hint="eastAsia" w:asciiTheme="minorEastAsia" w:hAnsiTheme="minorEastAsia" w:eastAsiaTheme="minorEastAsia" w:cstheme="minorEastAsia"/>
          <w:color w:val="auto"/>
          <w:kern w:val="2"/>
          <w:sz w:val="24"/>
          <w:szCs w:val="24"/>
          <w:highlight w:val="none"/>
        </w:rPr>
        <w:t>万元，全年整体支出合计</w:t>
      </w:r>
      <w:r>
        <w:rPr>
          <w:rFonts w:hint="eastAsia" w:asciiTheme="minorEastAsia" w:hAnsiTheme="minorEastAsia" w:eastAsiaTheme="minorEastAsia" w:cstheme="minorEastAsia"/>
          <w:color w:val="auto"/>
          <w:kern w:val="2"/>
          <w:sz w:val="24"/>
          <w:szCs w:val="24"/>
          <w:highlight w:val="none"/>
          <w:lang w:val="en-US" w:eastAsia="zh-CN"/>
        </w:rPr>
        <w:t>6568.25</w:t>
      </w:r>
      <w:r>
        <w:rPr>
          <w:rFonts w:hint="eastAsia" w:asciiTheme="minorEastAsia" w:hAnsiTheme="minorEastAsia" w:eastAsiaTheme="minorEastAsia" w:cstheme="minorEastAsia"/>
          <w:color w:val="auto"/>
          <w:kern w:val="2"/>
          <w:sz w:val="24"/>
          <w:szCs w:val="24"/>
          <w:highlight w:val="none"/>
        </w:rPr>
        <w:t>万元，预算完成率</w:t>
      </w:r>
      <w:r>
        <w:rPr>
          <w:rFonts w:hint="eastAsia" w:asciiTheme="minorEastAsia" w:hAnsiTheme="minorEastAsia" w:eastAsiaTheme="minorEastAsia" w:cstheme="minorEastAsia"/>
          <w:color w:val="auto"/>
          <w:kern w:val="2"/>
          <w:sz w:val="24"/>
          <w:szCs w:val="24"/>
          <w:highlight w:val="none"/>
          <w:lang w:val="en-US" w:eastAsia="zh-CN"/>
        </w:rPr>
        <w:t>93.56</w:t>
      </w:r>
      <w:r>
        <w:rPr>
          <w:rFonts w:hint="eastAsia" w:asciiTheme="minorEastAsia" w:hAnsiTheme="minorEastAsia" w:eastAsiaTheme="minorEastAsia" w:cstheme="minorEastAsia"/>
          <w:color w:val="auto"/>
          <w:kern w:val="2"/>
          <w:sz w:val="24"/>
          <w:szCs w:val="24"/>
          <w:highlight w:val="none"/>
        </w:rPr>
        <w:t>%。</w:t>
      </w:r>
    </w:p>
    <w:p>
      <w:pPr>
        <w:pStyle w:val="6"/>
        <w:widowControl/>
        <w:shd w:val="clear" w:color="auto" w:fill="FFFFFF"/>
        <w:spacing w:beforeAutospacing="0" w:afterAutospacing="0" w:line="360" w:lineRule="auto"/>
        <w:jc w:val="both"/>
        <w:rPr>
          <w:rFonts w:hint="eastAsia" w:asciiTheme="minorEastAsia" w:hAnsiTheme="minorEastAsia" w:eastAsiaTheme="minorEastAsia" w:cstheme="minorEastAsia"/>
          <w:color w:val="auto"/>
          <w:kern w:val="2"/>
          <w:sz w:val="24"/>
          <w:szCs w:val="24"/>
          <w:highlight w:val="none"/>
        </w:rPr>
      </w:pPr>
      <w:r>
        <w:rPr>
          <w:rFonts w:hint="eastAsia" w:asciiTheme="minorEastAsia" w:hAnsiTheme="minorEastAsia" w:eastAsiaTheme="minorEastAsia" w:cstheme="minorEastAsia"/>
          <w:color w:val="auto"/>
          <w:kern w:val="2"/>
          <w:sz w:val="24"/>
          <w:szCs w:val="24"/>
          <w:highlight w:val="none"/>
        </w:rPr>
        <w:t>（2）</w:t>
      </w:r>
      <w:bookmarkStart w:id="11" w:name="_Hlk75404465"/>
      <w:r>
        <w:rPr>
          <w:rFonts w:hint="eastAsia" w:asciiTheme="minorEastAsia" w:hAnsiTheme="minorEastAsia" w:eastAsiaTheme="minorEastAsia" w:cstheme="minorEastAsia"/>
          <w:color w:val="auto"/>
          <w:kern w:val="2"/>
          <w:sz w:val="24"/>
          <w:szCs w:val="24"/>
          <w:highlight w:val="none"/>
        </w:rPr>
        <w:t>营商环境持续优化升级</w:t>
      </w:r>
      <w:r>
        <w:rPr>
          <w:rFonts w:hint="eastAsia" w:asciiTheme="minorEastAsia" w:hAnsiTheme="minorEastAsia" w:eastAsiaTheme="minorEastAsia" w:cstheme="minorEastAsia"/>
          <w:color w:val="auto"/>
          <w:kern w:val="2"/>
          <w:sz w:val="24"/>
          <w:szCs w:val="24"/>
          <w:highlight w:val="none"/>
          <w:lang w:eastAsia="zh-CN"/>
        </w:rPr>
        <w:t>。</w:t>
      </w:r>
      <w:r>
        <w:rPr>
          <w:rFonts w:hint="eastAsia" w:asciiTheme="minorEastAsia" w:hAnsiTheme="minorEastAsia" w:eastAsiaTheme="minorEastAsia" w:cstheme="minorEastAsia"/>
          <w:color w:val="auto"/>
          <w:kern w:val="2"/>
          <w:sz w:val="24"/>
          <w:szCs w:val="24"/>
          <w:highlight w:val="none"/>
        </w:rPr>
        <w:t>努力缓解企业融资难、融资贵问题。与州农行签订产业链支持战略合作协议，在3年合作期内为9条产业链企业累计提供各项融资不低于20亿元。州应急转贷资金完成98笔转贷业务，涉及续贷资金6.16亿元，共计应收综合费68.21万元，实收47.75万元，减免30%。积极协调电价优惠政策，全州工业企业享受电价优惠额度达1.32亿元。</w:t>
      </w:r>
    </w:p>
    <w:bookmarkEnd w:id="11"/>
    <w:p>
      <w:pPr>
        <w:pStyle w:val="6"/>
        <w:widowControl/>
        <w:shd w:val="clear" w:color="auto" w:fill="FFFFFF"/>
        <w:spacing w:beforeAutospacing="0" w:afterAutospacing="0" w:line="360" w:lineRule="auto"/>
        <w:jc w:val="both"/>
        <w:rPr>
          <w:rFonts w:hint="eastAsia" w:asciiTheme="minorEastAsia" w:hAnsiTheme="minorEastAsia" w:eastAsiaTheme="minorEastAsia" w:cstheme="minorEastAsia"/>
          <w:color w:val="auto"/>
          <w:kern w:val="2"/>
          <w:sz w:val="24"/>
          <w:szCs w:val="24"/>
          <w:highlight w:val="none"/>
        </w:rPr>
      </w:pPr>
      <w:r>
        <w:rPr>
          <w:rFonts w:hint="eastAsia" w:asciiTheme="minorEastAsia" w:hAnsiTheme="minorEastAsia" w:eastAsiaTheme="minorEastAsia" w:cstheme="minorEastAsia"/>
          <w:color w:val="auto"/>
          <w:kern w:val="2"/>
          <w:sz w:val="24"/>
          <w:szCs w:val="24"/>
          <w:highlight w:val="none"/>
        </w:rPr>
        <w:t>（3）优势产业持续发力</w:t>
      </w:r>
      <w:r>
        <w:rPr>
          <w:rFonts w:hint="eastAsia" w:asciiTheme="minorEastAsia" w:hAnsiTheme="minorEastAsia" w:eastAsiaTheme="minorEastAsia" w:cstheme="minorEastAsia"/>
          <w:color w:val="auto"/>
          <w:kern w:val="2"/>
          <w:sz w:val="24"/>
          <w:szCs w:val="24"/>
          <w:highlight w:val="none"/>
          <w:lang w:eastAsia="zh-CN"/>
        </w:rPr>
        <w:t>。</w:t>
      </w:r>
      <w:r>
        <w:rPr>
          <w:rFonts w:hint="eastAsia" w:asciiTheme="minorEastAsia" w:hAnsiTheme="minorEastAsia" w:eastAsiaTheme="minorEastAsia" w:cstheme="minorEastAsia"/>
          <w:color w:val="auto"/>
          <w:kern w:val="2"/>
          <w:sz w:val="24"/>
          <w:szCs w:val="24"/>
          <w:highlight w:val="none"/>
        </w:rPr>
        <w:t>以“链长制”为抓手，整合要素资源，分链配套政策，突出优势优先、龙头带动，积极开展产业链精准招商，大力推进9条优势产业链建设。9条优势产业链产值增长 24.7 %，高于规模工业总产值增速 1.2 个百分点；白酒、锰锌新材料、锂电池、“两茶”产业链分别增长94%、39.5%、38.8%和22.5%，发展势头强劲。</w:t>
      </w:r>
    </w:p>
    <w:p>
      <w:pPr>
        <w:pStyle w:val="6"/>
        <w:widowControl/>
        <w:shd w:val="clear" w:color="auto" w:fill="FFFFFF"/>
        <w:spacing w:beforeAutospacing="0" w:afterAutospacing="0" w:line="360" w:lineRule="auto"/>
        <w:jc w:val="both"/>
        <w:rPr>
          <w:rFonts w:hint="eastAsia" w:asciiTheme="minorEastAsia" w:hAnsiTheme="minorEastAsia" w:eastAsiaTheme="minorEastAsia" w:cstheme="minorEastAsia"/>
          <w:color w:val="auto"/>
          <w:kern w:val="2"/>
          <w:sz w:val="24"/>
          <w:szCs w:val="24"/>
          <w:highlight w:val="none"/>
        </w:rPr>
      </w:pPr>
      <w:r>
        <w:rPr>
          <w:rFonts w:hint="eastAsia" w:asciiTheme="minorEastAsia" w:hAnsiTheme="minorEastAsia" w:eastAsiaTheme="minorEastAsia" w:cstheme="minorEastAsia"/>
          <w:color w:val="auto"/>
          <w:kern w:val="2"/>
          <w:sz w:val="24"/>
          <w:szCs w:val="24"/>
          <w:highlight w:val="none"/>
        </w:rPr>
        <w:t>（4）绩效目标合理性。本局202</w:t>
      </w:r>
      <w:r>
        <w:rPr>
          <w:rFonts w:hint="eastAsia" w:asciiTheme="minorEastAsia" w:hAnsiTheme="minorEastAsia" w:eastAsiaTheme="minorEastAsia" w:cstheme="minorEastAsia"/>
          <w:color w:val="auto"/>
          <w:kern w:val="2"/>
          <w:sz w:val="24"/>
          <w:szCs w:val="24"/>
          <w:highlight w:val="none"/>
          <w:lang w:val="en-US" w:eastAsia="zh-CN"/>
        </w:rPr>
        <w:t>1</w:t>
      </w:r>
      <w:r>
        <w:rPr>
          <w:rFonts w:hint="eastAsia" w:asciiTheme="minorEastAsia" w:hAnsiTheme="minorEastAsia" w:eastAsiaTheme="minorEastAsia" w:cstheme="minorEastAsia"/>
          <w:color w:val="auto"/>
          <w:kern w:val="2"/>
          <w:sz w:val="24"/>
          <w:szCs w:val="24"/>
          <w:highlight w:val="none"/>
        </w:rPr>
        <w:t>年所设立的整体绩效目标依据充分，符合客观实际；本局202</w:t>
      </w:r>
      <w:r>
        <w:rPr>
          <w:rFonts w:hint="eastAsia" w:asciiTheme="minorEastAsia" w:hAnsiTheme="minorEastAsia" w:eastAsiaTheme="minorEastAsia" w:cstheme="minorEastAsia"/>
          <w:color w:val="auto"/>
          <w:kern w:val="2"/>
          <w:sz w:val="24"/>
          <w:szCs w:val="24"/>
          <w:highlight w:val="none"/>
          <w:lang w:val="en-US" w:eastAsia="zh-CN"/>
        </w:rPr>
        <w:t>1</w:t>
      </w:r>
      <w:r>
        <w:rPr>
          <w:rFonts w:hint="eastAsia" w:asciiTheme="minorEastAsia" w:hAnsiTheme="minorEastAsia" w:eastAsiaTheme="minorEastAsia" w:cstheme="minorEastAsia"/>
          <w:color w:val="auto"/>
          <w:kern w:val="2"/>
          <w:sz w:val="24"/>
          <w:szCs w:val="24"/>
          <w:highlight w:val="none"/>
        </w:rPr>
        <w:t>年度预算资金的使用严格按照部门的目标所涉及的业务范围和计划执行，本局目标设定符合本局的工作职责并圆满完成了202</w:t>
      </w:r>
      <w:r>
        <w:rPr>
          <w:rFonts w:hint="eastAsia" w:asciiTheme="minorEastAsia" w:hAnsiTheme="minorEastAsia" w:eastAsiaTheme="minorEastAsia" w:cstheme="minorEastAsia"/>
          <w:color w:val="auto"/>
          <w:kern w:val="2"/>
          <w:sz w:val="24"/>
          <w:szCs w:val="24"/>
          <w:highlight w:val="none"/>
          <w:lang w:val="en-US" w:eastAsia="zh-CN"/>
        </w:rPr>
        <w:t>1</w:t>
      </w:r>
      <w:r>
        <w:rPr>
          <w:rFonts w:hint="eastAsia" w:asciiTheme="minorEastAsia" w:hAnsiTheme="minorEastAsia" w:eastAsiaTheme="minorEastAsia" w:cstheme="minorEastAsia"/>
          <w:color w:val="auto"/>
          <w:kern w:val="2"/>
          <w:sz w:val="24"/>
          <w:szCs w:val="24"/>
          <w:highlight w:val="none"/>
        </w:rPr>
        <w:t>年的绩效目标。</w:t>
      </w:r>
    </w:p>
    <w:p>
      <w:pPr>
        <w:pStyle w:val="6"/>
        <w:widowControl/>
        <w:shd w:val="clear" w:color="auto" w:fill="FFFFFF"/>
        <w:spacing w:beforeAutospacing="0" w:afterAutospacing="0" w:line="360" w:lineRule="auto"/>
        <w:jc w:val="both"/>
        <w:rPr>
          <w:rFonts w:hint="eastAsia" w:asciiTheme="minorEastAsia" w:hAnsiTheme="minorEastAsia" w:eastAsiaTheme="minorEastAsia" w:cstheme="minorEastAsia"/>
          <w:b/>
          <w:bCs/>
          <w:color w:val="auto"/>
          <w:kern w:val="2"/>
          <w:sz w:val="24"/>
          <w:szCs w:val="24"/>
          <w:highlight w:val="none"/>
          <w:lang w:bidi="ar"/>
        </w:rPr>
      </w:pPr>
      <w:r>
        <w:rPr>
          <w:rFonts w:hint="eastAsia" w:asciiTheme="minorEastAsia" w:hAnsiTheme="minorEastAsia" w:eastAsiaTheme="minorEastAsia" w:cstheme="minorEastAsia"/>
          <w:b/>
          <w:bCs/>
          <w:color w:val="auto"/>
          <w:kern w:val="2"/>
          <w:sz w:val="24"/>
          <w:szCs w:val="24"/>
          <w:highlight w:val="none"/>
          <w:lang w:bidi="ar"/>
        </w:rPr>
        <w:t>1.3</w:t>
      </w:r>
      <w:bookmarkStart w:id="12" w:name="_Hlk74600364"/>
      <w:r>
        <w:rPr>
          <w:rFonts w:hint="eastAsia" w:asciiTheme="minorEastAsia" w:hAnsiTheme="minorEastAsia" w:eastAsiaTheme="minorEastAsia" w:cstheme="minorEastAsia"/>
          <w:b/>
          <w:bCs/>
          <w:color w:val="auto"/>
          <w:kern w:val="2"/>
          <w:sz w:val="24"/>
          <w:szCs w:val="24"/>
          <w:highlight w:val="none"/>
          <w:lang w:bidi="ar"/>
        </w:rPr>
        <w:t>时效指标（</w:t>
      </w:r>
      <w:r>
        <w:rPr>
          <w:rFonts w:hint="eastAsia" w:asciiTheme="minorEastAsia" w:hAnsiTheme="minorEastAsia" w:eastAsiaTheme="minorEastAsia" w:cstheme="minorEastAsia"/>
          <w:b/>
          <w:bCs/>
          <w:color w:val="auto"/>
          <w:kern w:val="2"/>
          <w:sz w:val="24"/>
          <w:szCs w:val="24"/>
          <w:highlight w:val="none"/>
          <w:lang w:val="en-US" w:eastAsia="zh-CN" w:bidi="ar"/>
        </w:rPr>
        <w:t>5</w:t>
      </w:r>
      <w:r>
        <w:rPr>
          <w:rFonts w:hint="eastAsia" w:asciiTheme="minorEastAsia" w:hAnsiTheme="minorEastAsia" w:eastAsiaTheme="minorEastAsia" w:cstheme="minorEastAsia"/>
          <w:b/>
          <w:bCs/>
          <w:color w:val="auto"/>
          <w:kern w:val="2"/>
          <w:sz w:val="24"/>
          <w:szCs w:val="24"/>
          <w:highlight w:val="none"/>
          <w:lang w:bidi="ar"/>
        </w:rPr>
        <w:t>分，得</w:t>
      </w:r>
      <w:r>
        <w:rPr>
          <w:rFonts w:hint="eastAsia" w:asciiTheme="minorEastAsia" w:hAnsiTheme="minorEastAsia" w:eastAsiaTheme="minorEastAsia" w:cstheme="minorEastAsia"/>
          <w:b/>
          <w:bCs/>
          <w:color w:val="auto"/>
          <w:kern w:val="2"/>
          <w:sz w:val="24"/>
          <w:szCs w:val="24"/>
          <w:highlight w:val="none"/>
          <w:lang w:val="en-US" w:eastAsia="zh-CN" w:bidi="ar"/>
        </w:rPr>
        <w:t>5</w:t>
      </w:r>
      <w:r>
        <w:rPr>
          <w:rFonts w:hint="eastAsia" w:asciiTheme="minorEastAsia" w:hAnsiTheme="minorEastAsia" w:eastAsiaTheme="minorEastAsia" w:cstheme="minorEastAsia"/>
          <w:b/>
          <w:bCs/>
          <w:color w:val="auto"/>
          <w:kern w:val="2"/>
          <w:sz w:val="24"/>
          <w:szCs w:val="24"/>
          <w:highlight w:val="none"/>
          <w:lang w:bidi="ar"/>
        </w:rPr>
        <w:t>分）</w:t>
      </w:r>
    </w:p>
    <w:bookmarkEnd w:id="12"/>
    <w:p>
      <w:pPr>
        <w:pStyle w:val="6"/>
        <w:widowControl/>
        <w:shd w:val="clear" w:color="auto" w:fill="FFFFFF"/>
        <w:spacing w:beforeAutospacing="0" w:afterAutospacing="0" w:line="360" w:lineRule="auto"/>
        <w:jc w:val="both"/>
        <w:rPr>
          <w:rFonts w:hint="eastAsia" w:asciiTheme="minorEastAsia" w:hAnsiTheme="minorEastAsia" w:eastAsiaTheme="minorEastAsia" w:cstheme="minorEastAsia"/>
          <w:color w:val="auto"/>
          <w:kern w:val="2"/>
          <w:sz w:val="24"/>
          <w:szCs w:val="24"/>
          <w:highlight w:val="none"/>
        </w:rPr>
      </w:pPr>
      <w:r>
        <w:rPr>
          <w:rFonts w:hint="eastAsia" w:asciiTheme="minorEastAsia" w:hAnsiTheme="minorEastAsia" w:eastAsiaTheme="minorEastAsia" w:cstheme="minorEastAsia"/>
          <w:color w:val="auto"/>
          <w:kern w:val="2"/>
          <w:sz w:val="24"/>
          <w:szCs w:val="24"/>
          <w:highlight w:val="none"/>
        </w:rPr>
        <w:t>（1）重点工作完成率。本局全年围绕202</w:t>
      </w:r>
      <w:r>
        <w:rPr>
          <w:rFonts w:hint="eastAsia" w:asciiTheme="minorEastAsia" w:hAnsiTheme="minorEastAsia" w:eastAsiaTheme="minorEastAsia" w:cstheme="minorEastAsia"/>
          <w:color w:val="auto"/>
          <w:kern w:val="2"/>
          <w:sz w:val="24"/>
          <w:szCs w:val="24"/>
          <w:highlight w:val="none"/>
          <w:lang w:val="en-US" w:eastAsia="zh-CN"/>
        </w:rPr>
        <w:t>1</w:t>
      </w:r>
      <w:r>
        <w:rPr>
          <w:rFonts w:hint="eastAsia" w:asciiTheme="minorEastAsia" w:hAnsiTheme="minorEastAsia" w:eastAsiaTheme="minorEastAsia" w:cstheme="minorEastAsia"/>
          <w:color w:val="auto"/>
          <w:kern w:val="2"/>
          <w:sz w:val="24"/>
          <w:szCs w:val="24"/>
          <w:highlight w:val="none"/>
        </w:rPr>
        <w:t>年重点任务和目标落实支出工作，并圆满完成了本局的各项工作目标，重点支出工作安排完成率100%。</w:t>
      </w:r>
    </w:p>
    <w:p>
      <w:pPr>
        <w:pStyle w:val="6"/>
        <w:widowControl/>
        <w:shd w:val="clear" w:color="auto" w:fill="FFFFFF"/>
        <w:spacing w:beforeAutospacing="0" w:afterAutospacing="0" w:line="360" w:lineRule="auto"/>
        <w:jc w:val="both"/>
        <w:rPr>
          <w:rFonts w:hint="eastAsia" w:asciiTheme="minorEastAsia" w:hAnsiTheme="minorEastAsia" w:eastAsiaTheme="minorEastAsia" w:cstheme="minorEastAsia"/>
          <w:color w:val="auto"/>
          <w:kern w:val="2"/>
          <w:sz w:val="24"/>
          <w:szCs w:val="24"/>
          <w:highlight w:val="none"/>
        </w:rPr>
      </w:pPr>
      <w:r>
        <w:rPr>
          <w:rFonts w:hint="eastAsia" w:asciiTheme="minorEastAsia" w:hAnsiTheme="minorEastAsia" w:eastAsiaTheme="minorEastAsia" w:cstheme="minorEastAsia"/>
          <w:color w:val="auto"/>
          <w:kern w:val="2"/>
          <w:sz w:val="24"/>
          <w:szCs w:val="24"/>
          <w:highlight w:val="none"/>
        </w:rPr>
        <w:t>（2）重要精神传达及时率。202</w:t>
      </w:r>
      <w:r>
        <w:rPr>
          <w:rFonts w:hint="eastAsia" w:asciiTheme="minorEastAsia" w:hAnsiTheme="minorEastAsia" w:eastAsiaTheme="minorEastAsia" w:cstheme="minorEastAsia"/>
          <w:color w:val="auto"/>
          <w:kern w:val="2"/>
          <w:sz w:val="24"/>
          <w:szCs w:val="24"/>
          <w:highlight w:val="none"/>
          <w:lang w:val="en-US" w:eastAsia="zh-CN"/>
        </w:rPr>
        <w:t>1</w:t>
      </w:r>
      <w:r>
        <w:rPr>
          <w:rFonts w:hint="eastAsia" w:asciiTheme="minorEastAsia" w:hAnsiTheme="minorEastAsia" w:eastAsiaTheme="minorEastAsia" w:cstheme="minorEastAsia"/>
          <w:color w:val="auto"/>
          <w:kern w:val="2"/>
          <w:sz w:val="24"/>
          <w:szCs w:val="24"/>
          <w:highlight w:val="none"/>
        </w:rPr>
        <w:t>年本局重点学习党的十九届</w:t>
      </w:r>
      <w:r>
        <w:rPr>
          <w:rFonts w:hint="eastAsia" w:asciiTheme="minorEastAsia" w:hAnsiTheme="minorEastAsia" w:eastAsiaTheme="minorEastAsia" w:cstheme="minorEastAsia"/>
          <w:color w:val="auto"/>
          <w:kern w:val="2"/>
          <w:sz w:val="24"/>
          <w:szCs w:val="24"/>
          <w:highlight w:val="none"/>
          <w:lang w:val="en-US" w:eastAsia="zh-CN"/>
        </w:rPr>
        <w:t>六</w:t>
      </w:r>
      <w:r>
        <w:rPr>
          <w:rFonts w:hint="eastAsia" w:asciiTheme="minorEastAsia" w:hAnsiTheme="minorEastAsia" w:eastAsiaTheme="minorEastAsia" w:cstheme="minorEastAsia"/>
          <w:color w:val="auto"/>
          <w:kern w:val="2"/>
          <w:sz w:val="24"/>
          <w:szCs w:val="24"/>
          <w:highlight w:val="none"/>
        </w:rPr>
        <w:t>中全会精神</w:t>
      </w:r>
      <w:r>
        <w:rPr>
          <w:rFonts w:hint="eastAsia" w:asciiTheme="minorEastAsia" w:hAnsiTheme="minorEastAsia" w:eastAsiaTheme="minorEastAsia" w:cstheme="minorEastAsia"/>
          <w:color w:val="auto"/>
          <w:kern w:val="2"/>
          <w:sz w:val="24"/>
          <w:szCs w:val="24"/>
          <w:highlight w:val="none"/>
          <w:lang w:val="en-US" w:eastAsia="zh-CN"/>
        </w:rPr>
        <w:t>、</w:t>
      </w:r>
      <w:r>
        <w:rPr>
          <w:rFonts w:hint="eastAsia" w:asciiTheme="minorEastAsia" w:hAnsiTheme="minorEastAsia" w:eastAsiaTheme="minorEastAsia" w:cstheme="minorEastAsia"/>
          <w:color w:val="auto"/>
          <w:kern w:val="2"/>
          <w:sz w:val="24"/>
          <w:szCs w:val="24"/>
          <w:highlight w:val="none"/>
        </w:rPr>
        <w:t>习近平总书记重要讲话精神和《习近平谈治国理政》等内容，重要精神传达及时率100%。</w:t>
      </w:r>
    </w:p>
    <w:p>
      <w:pPr>
        <w:pStyle w:val="6"/>
        <w:widowControl/>
        <w:shd w:val="clear" w:color="auto" w:fill="FFFFFF"/>
        <w:spacing w:beforeAutospacing="0" w:afterAutospacing="0" w:line="360" w:lineRule="auto"/>
        <w:jc w:val="both"/>
        <w:rPr>
          <w:rFonts w:hint="eastAsia" w:asciiTheme="minorEastAsia" w:hAnsiTheme="minorEastAsia" w:eastAsiaTheme="minorEastAsia" w:cstheme="minorEastAsia"/>
          <w:b/>
          <w:bCs/>
          <w:color w:val="auto"/>
          <w:kern w:val="2"/>
          <w:sz w:val="24"/>
          <w:szCs w:val="24"/>
          <w:highlight w:val="none"/>
          <w:lang w:bidi="ar"/>
        </w:rPr>
      </w:pPr>
      <w:r>
        <w:rPr>
          <w:rFonts w:hint="eastAsia" w:asciiTheme="minorEastAsia" w:hAnsiTheme="minorEastAsia" w:eastAsiaTheme="minorEastAsia" w:cstheme="minorEastAsia"/>
          <w:b/>
          <w:bCs/>
          <w:color w:val="auto"/>
          <w:kern w:val="2"/>
          <w:sz w:val="24"/>
          <w:szCs w:val="24"/>
          <w:highlight w:val="none"/>
          <w:lang w:bidi="ar"/>
        </w:rPr>
        <w:t>1.4</w:t>
      </w:r>
      <w:bookmarkStart w:id="13" w:name="_Hlk74600380"/>
      <w:r>
        <w:rPr>
          <w:rFonts w:hint="eastAsia" w:asciiTheme="minorEastAsia" w:hAnsiTheme="minorEastAsia" w:eastAsiaTheme="minorEastAsia" w:cstheme="minorEastAsia"/>
          <w:b/>
          <w:bCs/>
          <w:color w:val="auto"/>
          <w:kern w:val="2"/>
          <w:sz w:val="24"/>
          <w:szCs w:val="24"/>
          <w:highlight w:val="none"/>
          <w:lang w:bidi="ar"/>
        </w:rPr>
        <w:t>成本指标（1</w:t>
      </w:r>
      <w:r>
        <w:rPr>
          <w:rFonts w:hint="eastAsia" w:asciiTheme="minorEastAsia" w:hAnsiTheme="minorEastAsia" w:eastAsiaTheme="minorEastAsia" w:cstheme="minorEastAsia"/>
          <w:b/>
          <w:bCs/>
          <w:color w:val="auto"/>
          <w:kern w:val="2"/>
          <w:sz w:val="24"/>
          <w:szCs w:val="24"/>
          <w:highlight w:val="none"/>
          <w:lang w:val="en-US" w:eastAsia="zh-CN" w:bidi="ar"/>
        </w:rPr>
        <w:t>0</w:t>
      </w:r>
      <w:r>
        <w:rPr>
          <w:rFonts w:hint="eastAsia" w:asciiTheme="minorEastAsia" w:hAnsiTheme="minorEastAsia" w:eastAsiaTheme="minorEastAsia" w:cstheme="minorEastAsia"/>
          <w:b/>
          <w:bCs/>
          <w:color w:val="auto"/>
          <w:kern w:val="2"/>
          <w:sz w:val="24"/>
          <w:szCs w:val="24"/>
          <w:highlight w:val="none"/>
          <w:lang w:bidi="ar"/>
        </w:rPr>
        <w:t>分，得1</w:t>
      </w:r>
      <w:r>
        <w:rPr>
          <w:rFonts w:hint="eastAsia" w:asciiTheme="minorEastAsia" w:hAnsiTheme="minorEastAsia" w:eastAsiaTheme="minorEastAsia" w:cstheme="minorEastAsia"/>
          <w:b/>
          <w:bCs/>
          <w:color w:val="auto"/>
          <w:kern w:val="2"/>
          <w:sz w:val="24"/>
          <w:szCs w:val="24"/>
          <w:highlight w:val="none"/>
          <w:lang w:val="en-US" w:eastAsia="zh-CN" w:bidi="ar"/>
        </w:rPr>
        <w:t>0</w:t>
      </w:r>
      <w:r>
        <w:rPr>
          <w:rFonts w:hint="eastAsia" w:asciiTheme="minorEastAsia" w:hAnsiTheme="minorEastAsia" w:eastAsiaTheme="minorEastAsia" w:cstheme="minorEastAsia"/>
          <w:b/>
          <w:bCs/>
          <w:color w:val="auto"/>
          <w:kern w:val="2"/>
          <w:sz w:val="24"/>
          <w:szCs w:val="24"/>
          <w:highlight w:val="none"/>
          <w:lang w:bidi="ar"/>
        </w:rPr>
        <w:t>分）</w:t>
      </w:r>
    </w:p>
    <w:bookmarkEnd w:id="13"/>
    <w:p>
      <w:pPr>
        <w:pStyle w:val="6"/>
        <w:widowControl/>
        <w:numPr>
          <w:ilvl w:val="0"/>
          <w:numId w:val="0"/>
        </w:numPr>
        <w:shd w:val="clear" w:color="auto" w:fill="FFFFFF"/>
        <w:spacing w:beforeAutospacing="0" w:afterAutospacing="0" w:line="360" w:lineRule="auto"/>
        <w:jc w:val="both"/>
        <w:rPr>
          <w:rFonts w:hint="eastAsia" w:asciiTheme="minorEastAsia" w:hAnsiTheme="minorEastAsia" w:eastAsiaTheme="minorEastAsia" w:cstheme="minorEastAsia"/>
          <w:color w:val="auto"/>
          <w:kern w:val="2"/>
          <w:sz w:val="24"/>
          <w:szCs w:val="24"/>
          <w:highlight w:val="none"/>
          <w:lang w:bidi="ar"/>
        </w:rPr>
      </w:pPr>
      <w:r>
        <w:rPr>
          <w:rFonts w:hint="eastAsia" w:asciiTheme="minorEastAsia" w:hAnsiTheme="minorEastAsia" w:eastAsiaTheme="minorEastAsia" w:cstheme="minorEastAsia"/>
          <w:color w:val="auto"/>
          <w:kern w:val="2"/>
          <w:sz w:val="24"/>
          <w:szCs w:val="24"/>
          <w:highlight w:val="none"/>
        </w:rPr>
        <w:t>（1）</w:t>
      </w:r>
      <w:r>
        <w:rPr>
          <w:rFonts w:hint="eastAsia" w:asciiTheme="minorEastAsia" w:hAnsiTheme="minorEastAsia" w:eastAsiaTheme="minorEastAsia" w:cstheme="minorEastAsia"/>
          <w:color w:val="auto"/>
          <w:kern w:val="2"/>
          <w:sz w:val="24"/>
          <w:szCs w:val="24"/>
          <w:highlight w:val="none"/>
          <w:lang w:bidi="ar"/>
        </w:rPr>
        <w:t>在职人员控制率。202</w:t>
      </w:r>
      <w:r>
        <w:rPr>
          <w:rFonts w:hint="eastAsia" w:asciiTheme="minorEastAsia" w:hAnsiTheme="minorEastAsia" w:eastAsiaTheme="minorEastAsia" w:cstheme="minorEastAsia"/>
          <w:color w:val="auto"/>
          <w:kern w:val="2"/>
          <w:sz w:val="24"/>
          <w:szCs w:val="24"/>
          <w:highlight w:val="none"/>
          <w:lang w:val="en-US" w:eastAsia="zh-CN" w:bidi="ar"/>
        </w:rPr>
        <w:t>1</w:t>
      </w:r>
      <w:r>
        <w:rPr>
          <w:rFonts w:hint="eastAsia" w:asciiTheme="minorEastAsia" w:hAnsiTheme="minorEastAsia" w:eastAsiaTheme="minorEastAsia" w:cstheme="minorEastAsia"/>
          <w:color w:val="auto"/>
          <w:kern w:val="2"/>
          <w:sz w:val="24"/>
          <w:szCs w:val="24"/>
          <w:highlight w:val="none"/>
          <w:lang w:bidi="ar"/>
        </w:rPr>
        <w:t>年本局</w:t>
      </w:r>
      <w:r>
        <w:rPr>
          <w:rFonts w:hint="eastAsia" w:asciiTheme="minorEastAsia" w:hAnsiTheme="minorEastAsia" w:eastAsiaTheme="minorEastAsia" w:cstheme="minorEastAsia"/>
          <w:color w:val="auto"/>
          <w:kern w:val="2"/>
          <w:sz w:val="24"/>
          <w:szCs w:val="24"/>
          <w:highlight w:val="none"/>
          <w:lang w:val="en-US" w:eastAsia="zh-CN" w:bidi="ar"/>
        </w:rPr>
        <w:t>及二级机构</w:t>
      </w:r>
      <w:r>
        <w:rPr>
          <w:rFonts w:hint="eastAsia" w:asciiTheme="minorEastAsia" w:hAnsiTheme="minorEastAsia" w:eastAsiaTheme="minorEastAsia" w:cstheme="minorEastAsia"/>
          <w:color w:val="auto"/>
          <w:kern w:val="2"/>
          <w:sz w:val="24"/>
          <w:szCs w:val="24"/>
          <w:highlight w:val="none"/>
          <w:lang w:bidi="ar"/>
        </w:rPr>
        <w:t>共有编制91人，</w:t>
      </w:r>
      <w:r>
        <w:rPr>
          <w:rFonts w:hint="eastAsia" w:asciiTheme="minorEastAsia" w:hAnsiTheme="minorEastAsia" w:eastAsiaTheme="minorEastAsia" w:cstheme="minorEastAsia"/>
          <w:color w:val="auto"/>
          <w:kern w:val="2"/>
          <w:sz w:val="24"/>
          <w:szCs w:val="24"/>
          <w:highlight w:val="none"/>
          <w:lang w:bidi="ar"/>
        </w:rPr>
        <w:t>202</w:t>
      </w:r>
      <w:r>
        <w:rPr>
          <w:rFonts w:hint="eastAsia" w:asciiTheme="minorEastAsia" w:hAnsiTheme="minorEastAsia" w:eastAsiaTheme="minorEastAsia" w:cstheme="minorEastAsia"/>
          <w:color w:val="auto"/>
          <w:kern w:val="2"/>
          <w:sz w:val="24"/>
          <w:szCs w:val="24"/>
          <w:highlight w:val="none"/>
          <w:lang w:val="en-US" w:eastAsia="zh-CN" w:bidi="ar"/>
        </w:rPr>
        <w:t>1</w:t>
      </w:r>
      <w:r>
        <w:rPr>
          <w:rFonts w:hint="eastAsia" w:asciiTheme="minorEastAsia" w:hAnsiTheme="minorEastAsia" w:eastAsiaTheme="minorEastAsia" w:cstheme="minorEastAsia"/>
          <w:color w:val="auto"/>
          <w:kern w:val="2"/>
          <w:sz w:val="24"/>
          <w:szCs w:val="24"/>
          <w:highlight w:val="none"/>
          <w:lang w:bidi="ar"/>
        </w:rPr>
        <w:t>年末实有在职人数为87</w:t>
      </w:r>
      <w:r>
        <w:rPr>
          <w:rFonts w:hint="eastAsia" w:asciiTheme="minorEastAsia" w:hAnsiTheme="minorEastAsia" w:eastAsiaTheme="minorEastAsia" w:cstheme="minorEastAsia"/>
          <w:color w:val="auto"/>
          <w:kern w:val="2"/>
          <w:sz w:val="24"/>
          <w:szCs w:val="24"/>
          <w:highlight w:val="none"/>
          <w:lang w:val="en-US" w:eastAsia="zh-CN" w:bidi="ar"/>
        </w:rPr>
        <w:t>人</w:t>
      </w:r>
      <w:r>
        <w:rPr>
          <w:rFonts w:hint="eastAsia" w:asciiTheme="minorEastAsia" w:hAnsiTheme="minorEastAsia" w:eastAsiaTheme="minorEastAsia" w:cstheme="minorEastAsia"/>
          <w:color w:val="auto"/>
          <w:kern w:val="2"/>
          <w:sz w:val="24"/>
          <w:szCs w:val="24"/>
          <w:highlight w:val="none"/>
          <w:lang w:bidi="ar"/>
        </w:rPr>
        <w:t>，本年度本局在职人员控制率为95.60%。</w:t>
      </w:r>
    </w:p>
    <w:p>
      <w:pPr>
        <w:pStyle w:val="6"/>
        <w:widowControl/>
        <w:numPr>
          <w:ilvl w:val="0"/>
          <w:numId w:val="0"/>
        </w:numPr>
        <w:shd w:val="clear" w:color="auto" w:fill="FFFFFF"/>
        <w:spacing w:beforeAutospacing="0" w:afterAutospacing="0" w:line="360" w:lineRule="auto"/>
        <w:jc w:val="both"/>
        <w:rPr>
          <w:rFonts w:hint="eastAsia" w:asciiTheme="minorEastAsia" w:hAnsiTheme="minorEastAsia" w:eastAsiaTheme="minorEastAsia" w:cstheme="minorEastAsia"/>
          <w:color w:val="auto"/>
          <w:kern w:val="2"/>
          <w:sz w:val="24"/>
          <w:szCs w:val="24"/>
          <w:highlight w:val="none"/>
          <w:lang w:bidi="ar"/>
        </w:rPr>
      </w:pPr>
      <w:r>
        <w:rPr>
          <w:rFonts w:hint="eastAsia" w:asciiTheme="minorEastAsia" w:hAnsiTheme="minorEastAsia" w:eastAsiaTheme="minorEastAsia" w:cstheme="minorEastAsia"/>
          <w:color w:val="auto"/>
          <w:kern w:val="2"/>
          <w:sz w:val="24"/>
          <w:szCs w:val="24"/>
          <w:highlight w:val="none"/>
        </w:rPr>
        <w:t>（2）</w:t>
      </w:r>
      <w:r>
        <w:rPr>
          <w:rFonts w:hint="eastAsia" w:asciiTheme="minorEastAsia" w:hAnsiTheme="minorEastAsia" w:eastAsiaTheme="minorEastAsia" w:cstheme="minorEastAsia"/>
          <w:color w:val="auto"/>
          <w:kern w:val="2"/>
          <w:sz w:val="24"/>
          <w:szCs w:val="24"/>
          <w:highlight w:val="none"/>
          <w:lang w:bidi="ar"/>
        </w:rPr>
        <w:t>公用经费控制率。202</w:t>
      </w:r>
      <w:r>
        <w:rPr>
          <w:rFonts w:hint="eastAsia" w:asciiTheme="minorEastAsia" w:hAnsiTheme="minorEastAsia" w:eastAsiaTheme="minorEastAsia" w:cstheme="minorEastAsia"/>
          <w:color w:val="auto"/>
          <w:kern w:val="2"/>
          <w:sz w:val="24"/>
          <w:szCs w:val="24"/>
          <w:highlight w:val="none"/>
          <w:lang w:val="en-US" w:eastAsia="zh-CN" w:bidi="ar"/>
        </w:rPr>
        <w:t>1</w:t>
      </w:r>
      <w:r>
        <w:rPr>
          <w:rFonts w:hint="eastAsia" w:asciiTheme="minorEastAsia" w:hAnsiTheme="minorEastAsia" w:eastAsiaTheme="minorEastAsia" w:cstheme="minorEastAsia"/>
          <w:color w:val="auto"/>
          <w:kern w:val="2"/>
          <w:sz w:val="24"/>
          <w:szCs w:val="24"/>
          <w:highlight w:val="none"/>
          <w:lang w:bidi="ar"/>
        </w:rPr>
        <w:t>年公用经费预算</w:t>
      </w:r>
      <w:r>
        <w:rPr>
          <w:rFonts w:hint="eastAsia" w:asciiTheme="minorEastAsia" w:hAnsiTheme="minorEastAsia" w:eastAsiaTheme="minorEastAsia" w:cstheme="minorEastAsia"/>
          <w:color w:val="auto"/>
          <w:kern w:val="2"/>
          <w:sz w:val="24"/>
          <w:szCs w:val="24"/>
          <w:highlight w:val="none"/>
          <w:lang w:val="en-US" w:eastAsia="zh-CN" w:bidi="ar"/>
        </w:rPr>
        <w:t>370.14</w:t>
      </w:r>
      <w:r>
        <w:rPr>
          <w:rFonts w:hint="eastAsia" w:asciiTheme="minorEastAsia" w:hAnsiTheme="minorEastAsia" w:eastAsiaTheme="minorEastAsia" w:cstheme="minorEastAsia"/>
          <w:color w:val="auto"/>
          <w:kern w:val="2"/>
          <w:sz w:val="24"/>
          <w:szCs w:val="24"/>
          <w:highlight w:val="none"/>
          <w:lang w:bidi="ar"/>
        </w:rPr>
        <w:t>万元，实际执行</w:t>
      </w:r>
      <w:r>
        <w:rPr>
          <w:rFonts w:hint="eastAsia" w:asciiTheme="minorEastAsia" w:hAnsiTheme="minorEastAsia" w:eastAsiaTheme="minorEastAsia" w:cstheme="minorEastAsia"/>
          <w:color w:val="auto"/>
          <w:kern w:val="2"/>
          <w:sz w:val="24"/>
          <w:szCs w:val="24"/>
          <w:highlight w:val="none"/>
          <w:lang w:val="en-US" w:eastAsia="zh-CN" w:bidi="ar"/>
        </w:rPr>
        <w:t>370.14</w:t>
      </w:r>
      <w:r>
        <w:rPr>
          <w:rFonts w:hint="eastAsia" w:asciiTheme="minorEastAsia" w:hAnsiTheme="minorEastAsia" w:eastAsiaTheme="minorEastAsia" w:cstheme="minorEastAsia"/>
          <w:color w:val="auto"/>
          <w:kern w:val="2"/>
          <w:sz w:val="24"/>
          <w:szCs w:val="24"/>
          <w:highlight w:val="none"/>
          <w:lang w:bidi="ar"/>
        </w:rPr>
        <w:t>万元。公用经费控制率100%。</w:t>
      </w:r>
    </w:p>
    <w:p>
      <w:pPr>
        <w:pStyle w:val="6"/>
        <w:widowControl/>
        <w:numPr>
          <w:ilvl w:val="0"/>
          <w:numId w:val="0"/>
        </w:numPr>
        <w:shd w:val="clear" w:color="auto" w:fill="FFFFFF"/>
        <w:spacing w:beforeAutospacing="0" w:afterAutospacing="0" w:line="360" w:lineRule="auto"/>
        <w:jc w:val="both"/>
        <w:rPr>
          <w:rFonts w:hint="eastAsia" w:asciiTheme="minorEastAsia" w:hAnsiTheme="minorEastAsia" w:eastAsiaTheme="minorEastAsia" w:cstheme="minorEastAsia"/>
          <w:color w:val="auto"/>
          <w:kern w:val="2"/>
          <w:sz w:val="24"/>
          <w:szCs w:val="24"/>
          <w:highlight w:val="none"/>
          <w:lang w:bidi="ar"/>
        </w:rPr>
      </w:pPr>
      <w:r>
        <w:rPr>
          <w:rFonts w:hint="eastAsia" w:asciiTheme="minorEastAsia" w:hAnsiTheme="minorEastAsia" w:eastAsiaTheme="minorEastAsia" w:cstheme="minorEastAsia"/>
          <w:color w:val="auto"/>
          <w:kern w:val="2"/>
          <w:sz w:val="24"/>
          <w:szCs w:val="24"/>
          <w:highlight w:val="none"/>
          <w:lang w:bidi="ar"/>
        </w:rPr>
        <w:t>（3）三公经费控制率。202</w:t>
      </w:r>
      <w:r>
        <w:rPr>
          <w:rFonts w:hint="eastAsia" w:asciiTheme="minorEastAsia" w:hAnsiTheme="minorEastAsia" w:eastAsiaTheme="minorEastAsia" w:cstheme="minorEastAsia"/>
          <w:color w:val="auto"/>
          <w:kern w:val="2"/>
          <w:sz w:val="24"/>
          <w:szCs w:val="24"/>
          <w:highlight w:val="none"/>
          <w:lang w:val="en-US" w:eastAsia="zh-CN" w:bidi="ar"/>
        </w:rPr>
        <w:t>1</w:t>
      </w:r>
      <w:r>
        <w:rPr>
          <w:rFonts w:hint="eastAsia" w:asciiTheme="minorEastAsia" w:hAnsiTheme="minorEastAsia" w:eastAsiaTheme="minorEastAsia" w:cstheme="minorEastAsia"/>
          <w:color w:val="auto"/>
          <w:kern w:val="2"/>
          <w:sz w:val="24"/>
          <w:szCs w:val="24"/>
          <w:highlight w:val="none"/>
          <w:lang w:bidi="ar"/>
        </w:rPr>
        <w:t>年局三公经费预算</w:t>
      </w:r>
      <w:r>
        <w:rPr>
          <w:rFonts w:hint="eastAsia" w:asciiTheme="minorEastAsia" w:hAnsiTheme="minorEastAsia" w:eastAsiaTheme="minorEastAsia" w:cstheme="minorEastAsia"/>
          <w:color w:val="auto"/>
          <w:kern w:val="2"/>
          <w:sz w:val="24"/>
          <w:szCs w:val="24"/>
          <w:highlight w:val="none"/>
          <w:lang w:val="en-US" w:eastAsia="zh-CN" w:bidi="ar"/>
        </w:rPr>
        <w:t>70.60</w:t>
      </w:r>
      <w:r>
        <w:rPr>
          <w:rFonts w:hint="eastAsia" w:asciiTheme="minorEastAsia" w:hAnsiTheme="minorEastAsia" w:eastAsiaTheme="minorEastAsia" w:cstheme="minorEastAsia"/>
          <w:color w:val="auto"/>
          <w:kern w:val="2"/>
          <w:sz w:val="24"/>
          <w:szCs w:val="24"/>
          <w:highlight w:val="none"/>
          <w:lang w:bidi="ar"/>
        </w:rPr>
        <w:t>万元，本年三公经费实际开支</w:t>
      </w:r>
      <w:r>
        <w:rPr>
          <w:rFonts w:hint="eastAsia" w:asciiTheme="minorEastAsia" w:hAnsiTheme="minorEastAsia" w:eastAsiaTheme="minorEastAsia" w:cstheme="minorEastAsia"/>
          <w:color w:val="auto"/>
          <w:kern w:val="2"/>
          <w:sz w:val="24"/>
          <w:szCs w:val="24"/>
          <w:highlight w:val="none"/>
          <w:lang w:val="en-US" w:eastAsia="zh-CN" w:bidi="ar"/>
        </w:rPr>
        <w:t>14.02</w:t>
      </w:r>
      <w:r>
        <w:rPr>
          <w:rFonts w:hint="eastAsia" w:asciiTheme="minorEastAsia" w:hAnsiTheme="minorEastAsia" w:eastAsiaTheme="minorEastAsia" w:cstheme="minorEastAsia"/>
          <w:color w:val="auto"/>
          <w:kern w:val="2"/>
          <w:sz w:val="24"/>
          <w:szCs w:val="24"/>
          <w:highlight w:val="none"/>
          <w:lang w:bidi="ar"/>
        </w:rPr>
        <w:t>万元，其中公务接待开支</w:t>
      </w:r>
      <w:r>
        <w:rPr>
          <w:rFonts w:hint="eastAsia" w:asciiTheme="minorEastAsia" w:hAnsiTheme="minorEastAsia" w:eastAsiaTheme="minorEastAsia" w:cstheme="minorEastAsia"/>
          <w:color w:val="auto"/>
          <w:kern w:val="2"/>
          <w:sz w:val="24"/>
          <w:szCs w:val="24"/>
          <w:highlight w:val="none"/>
          <w:lang w:val="en-US" w:eastAsia="zh-CN" w:bidi="ar"/>
        </w:rPr>
        <w:t>2.52</w:t>
      </w:r>
      <w:r>
        <w:rPr>
          <w:rFonts w:hint="eastAsia" w:asciiTheme="minorEastAsia" w:hAnsiTheme="minorEastAsia" w:eastAsiaTheme="minorEastAsia" w:cstheme="minorEastAsia"/>
          <w:color w:val="auto"/>
          <w:kern w:val="2"/>
          <w:sz w:val="24"/>
          <w:szCs w:val="24"/>
          <w:highlight w:val="none"/>
          <w:lang w:bidi="ar"/>
        </w:rPr>
        <w:t>万元、因公出国出境费0元，公务用车维护费</w:t>
      </w:r>
      <w:r>
        <w:rPr>
          <w:rFonts w:hint="eastAsia" w:asciiTheme="minorEastAsia" w:hAnsiTheme="minorEastAsia" w:eastAsiaTheme="minorEastAsia" w:cstheme="minorEastAsia"/>
          <w:color w:val="auto"/>
          <w:kern w:val="2"/>
          <w:sz w:val="24"/>
          <w:szCs w:val="24"/>
          <w:highlight w:val="none"/>
          <w:lang w:val="en-US" w:eastAsia="zh-CN" w:bidi="ar"/>
        </w:rPr>
        <w:t>11.50</w:t>
      </w:r>
      <w:r>
        <w:rPr>
          <w:rFonts w:hint="eastAsia" w:asciiTheme="minorEastAsia" w:hAnsiTheme="minorEastAsia" w:eastAsiaTheme="minorEastAsia" w:cstheme="minorEastAsia"/>
          <w:color w:val="auto"/>
          <w:kern w:val="2"/>
          <w:sz w:val="24"/>
          <w:szCs w:val="24"/>
          <w:highlight w:val="none"/>
          <w:lang w:bidi="ar"/>
        </w:rPr>
        <w:t>万元。三公经费控制率为</w:t>
      </w:r>
      <w:r>
        <w:rPr>
          <w:rFonts w:hint="eastAsia" w:asciiTheme="minorEastAsia" w:hAnsiTheme="minorEastAsia" w:eastAsiaTheme="minorEastAsia" w:cstheme="minorEastAsia"/>
          <w:color w:val="auto"/>
          <w:kern w:val="2"/>
          <w:sz w:val="24"/>
          <w:szCs w:val="24"/>
          <w:highlight w:val="none"/>
          <w:lang w:val="en-US" w:eastAsia="zh-CN" w:bidi="ar"/>
        </w:rPr>
        <w:t>19.86</w:t>
      </w:r>
      <w:r>
        <w:rPr>
          <w:rFonts w:hint="eastAsia" w:asciiTheme="minorEastAsia" w:hAnsiTheme="minorEastAsia" w:eastAsiaTheme="minorEastAsia" w:cstheme="minorEastAsia"/>
          <w:color w:val="auto"/>
          <w:kern w:val="2"/>
          <w:sz w:val="24"/>
          <w:szCs w:val="24"/>
          <w:highlight w:val="none"/>
          <w:lang w:bidi="ar"/>
        </w:rPr>
        <w:t>%。</w:t>
      </w:r>
    </w:p>
    <w:p>
      <w:pPr>
        <w:pStyle w:val="6"/>
        <w:widowControl/>
        <w:numPr>
          <w:ilvl w:val="0"/>
          <w:numId w:val="0"/>
        </w:numPr>
        <w:shd w:val="clear" w:color="auto" w:fill="FFFFFF"/>
        <w:spacing w:beforeAutospacing="0" w:afterAutospacing="0" w:line="360" w:lineRule="auto"/>
        <w:jc w:val="both"/>
        <w:rPr>
          <w:rFonts w:hint="eastAsia" w:asciiTheme="minorEastAsia" w:hAnsiTheme="minorEastAsia" w:eastAsiaTheme="minorEastAsia" w:cstheme="minorEastAsia"/>
          <w:color w:val="auto"/>
          <w:kern w:val="2"/>
          <w:sz w:val="24"/>
          <w:szCs w:val="24"/>
          <w:highlight w:val="none"/>
          <w:lang w:bidi="ar"/>
        </w:rPr>
      </w:pPr>
      <w:r>
        <w:rPr>
          <w:rFonts w:hint="eastAsia" w:asciiTheme="minorEastAsia" w:hAnsiTheme="minorEastAsia" w:eastAsiaTheme="minorEastAsia" w:cstheme="minorEastAsia"/>
          <w:color w:val="auto"/>
          <w:kern w:val="2"/>
          <w:sz w:val="24"/>
          <w:szCs w:val="24"/>
          <w:highlight w:val="none"/>
          <w:lang w:bidi="ar"/>
        </w:rPr>
        <w:t>（4）政府采购执行率。202</w:t>
      </w:r>
      <w:r>
        <w:rPr>
          <w:rFonts w:hint="eastAsia" w:asciiTheme="minorEastAsia" w:hAnsiTheme="minorEastAsia" w:eastAsiaTheme="minorEastAsia" w:cstheme="minorEastAsia"/>
          <w:color w:val="auto"/>
          <w:kern w:val="2"/>
          <w:sz w:val="24"/>
          <w:szCs w:val="24"/>
          <w:highlight w:val="none"/>
          <w:lang w:val="en-US" w:eastAsia="zh-CN" w:bidi="ar"/>
        </w:rPr>
        <w:t>1</w:t>
      </w:r>
      <w:r>
        <w:rPr>
          <w:rFonts w:hint="eastAsia" w:asciiTheme="minorEastAsia" w:hAnsiTheme="minorEastAsia" w:eastAsiaTheme="minorEastAsia" w:cstheme="minorEastAsia"/>
          <w:color w:val="auto"/>
          <w:kern w:val="2"/>
          <w:sz w:val="24"/>
          <w:szCs w:val="24"/>
          <w:highlight w:val="none"/>
          <w:lang w:bidi="ar"/>
        </w:rPr>
        <w:t>年政府采购预算</w:t>
      </w:r>
      <w:r>
        <w:rPr>
          <w:rFonts w:hint="eastAsia" w:asciiTheme="minorEastAsia" w:hAnsiTheme="minorEastAsia" w:eastAsiaTheme="minorEastAsia" w:cstheme="minorEastAsia"/>
          <w:color w:val="auto"/>
          <w:kern w:val="2"/>
          <w:sz w:val="24"/>
          <w:szCs w:val="24"/>
          <w:highlight w:val="none"/>
          <w:lang w:val="en-US" w:eastAsia="zh-CN" w:bidi="ar"/>
        </w:rPr>
        <w:t>63.88</w:t>
      </w:r>
      <w:r>
        <w:rPr>
          <w:rFonts w:hint="eastAsia" w:asciiTheme="minorEastAsia" w:hAnsiTheme="minorEastAsia" w:eastAsiaTheme="minorEastAsia" w:cstheme="minorEastAsia"/>
          <w:color w:val="auto"/>
          <w:kern w:val="2"/>
          <w:sz w:val="24"/>
          <w:szCs w:val="24"/>
          <w:highlight w:val="none"/>
          <w:lang w:bidi="ar"/>
        </w:rPr>
        <w:t>万元，实际执行</w:t>
      </w:r>
      <w:r>
        <w:rPr>
          <w:rFonts w:hint="eastAsia" w:asciiTheme="minorEastAsia" w:hAnsiTheme="minorEastAsia" w:eastAsiaTheme="minorEastAsia" w:cstheme="minorEastAsia"/>
          <w:color w:val="auto"/>
          <w:kern w:val="2"/>
          <w:sz w:val="24"/>
          <w:szCs w:val="24"/>
          <w:highlight w:val="none"/>
          <w:lang w:val="en-US" w:eastAsia="zh-CN" w:bidi="ar"/>
        </w:rPr>
        <w:t>11.47</w:t>
      </w:r>
      <w:r>
        <w:rPr>
          <w:rFonts w:hint="eastAsia" w:asciiTheme="minorEastAsia" w:hAnsiTheme="minorEastAsia" w:eastAsiaTheme="minorEastAsia" w:cstheme="minorEastAsia"/>
          <w:color w:val="auto"/>
          <w:kern w:val="2"/>
          <w:sz w:val="24"/>
          <w:szCs w:val="24"/>
          <w:highlight w:val="none"/>
          <w:lang w:bidi="ar"/>
        </w:rPr>
        <w:t>万元</w:t>
      </w:r>
      <w:r>
        <w:rPr>
          <w:rFonts w:hint="eastAsia" w:asciiTheme="minorEastAsia" w:hAnsiTheme="minorEastAsia" w:eastAsiaTheme="minorEastAsia" w:cstheme="minorEastAsia"/>
          <w:color w:val="auto"/>
          <w:kern w:val="2"/>
          <w:sz w:val="24"/>
          <w:szCs w:val="24"/>
          <w:highlight w:val="none"/>
          <w:lang w:eastAsia="zh-CN" w:bidi="ar"/>
        </w:rPr>
        <w:t>，</w:t>
      </w:r>
      <w:r>
        <w:rPr>
          <w:rFonts w:hint="eastAsia" w:asciiTheme="minorEastAsia" w:hAnsiTheme="minorEastAsia" w:eastAsiaTheme="minorEastAsia" w:cstheme="minorEastAsia"/>
          <w:color w:val="auto"/>
          <w:kern w:val="2"/>
          <w:sz w:val="24"/>
          <w:szCs w:val="24"/>
          <w:highlight w:val="none"/>
          <w:lang w:bidi="ar"/>
        </w:rPr>
        <w:t>政府采购执行率</w:t>
      </w:r>
      <w:r>
        <w:rPr>
          <w:rFonts w:hint="eastAsia" w:asciiTheme="minorEastAsia" w:hAnsiTheme="minorEastAsia" w:eastAsiaTheme="minorEastAsia" w:cstheme="minorEastAsia"/>
          <w:color w:val="auto"/>
          <w:kern w:val="2"/>
          <w:sz w:val="24"/>
          <w:szCs w:val="24"/>
          <w:highlight w:val="none"/>
          <w:lang w:val="en-US" w:eastAsia="zh-CN" w:bidi="ar"/>
        </w:rPr>
        <w:t>17.95%</w:t>
      </w:r>
      <w:r>
        <w:rPr>
          <w:rFonts w:hint="eastAsia" w:asciiTheme="minorEastAsia" w:hAnsiTheme="minorEastAsia" w:eastAsiaTheme="minorEastAsia" w:cstheme="minorEastAsia"/>
          <w:color w:val="auto"/>
          <w:kern w:val="2"/>
          <w:sz w:val="24"/>
          <w:szCs w:val="24"/>
          <w:highlight w:val="none"/>
          <w:lang w:bidi="ar"/>
        </w:rPr>
        <w:t>。</w:t>
      </w:r>
    </w:p>
    <w:p>
      <w:pPr>
        <w:pStyle w:val="6"/>
        <w:widowControl/>
        <w:numPr>
          <w:ilvl w:val="0"/>
          <w:numId w:val="0"/>
        </w:numPr>
        <w:shd w:val="clear" w:color="auto" w:fill="FFFFFF"/>
        <w:spacing w:beforeAutospacing="0" w:afterAutospacing="0" w:line="360" w:lineRule="auto"/>
        <w:jc w:val="both"/>
        <w:rPr>
          <w:rFonts w:hint="eastAsia" w:asciiTheme="minorEastAsia" w:hAnsiTheme="minorEastAsia" w:eastAsiaTheme="minorEastAsia" w:cstheme="minorEastAsia"/>
          <w:color w:val="auto"/>
          <w:kern w:val="2"/>
          <w:sz w:val="24"/>
          <w:szCs w:val="24"/>
          <w:highlight w:val="none"/>
          <w:lang w:bidi="ar"/>
        </w:rPr>
      </w:pPr>
      <w:r>
        <w:rPr>
          <w:rFonts w:hint="eastAsia" w:asciiTheme="minorEastAsia" w:hAnsiTheme="minorEastAsia" w:eastAsiaTheme="minorEastAsia" w:cstheme="minorEastAsia"/>
          <w:color w:val="auto"/>
          <w:kern w:val="2"/>
          <w:sz w:val="24"/>
          <w:szCs w:val="24"/>
          <w:highlight w:val="none"/>
        </w:rPr>
        <w:t>（</w:t>
      </w:r>
      <w:r>
        <w:rPr>
          <w:rFonts w:hint="default" w:asciiTheme="minorEastAsia" w:hAnsiTheme="minorEastAsia" w:eastAsiaTheme="minorEastAsia" w:cstheme="minorEastAsia"/>
          <w:color w:val="auto"/>
          <w:kern w:val="2"/>
          <w:sz w:val="24"/>
          <w:szCs w:val="24"/>
          <w:highlight w:val="none"/>
          <w:lang w:val="en-US"/>
        </w:rPr>
        <w:t>5</w:t>
      </w:r>
      <w:r>
        <w:rPr>
          <w:rFonts w:hint="eastAsia" w:asciiTheme="minorEastAsia" w:hAnsiTheme="minorEastAsia" w:eastAsiaTheme="minorEastAsia" w:cstheme="minorEastAsia"/>
          <w:color w:val="auto"/>
          <w:kern w:val="2"/>
          <w:sz w:val="24"/>
          <w:szCs w:val="24"/>
          <w:highlight w:val="none"/>
        </w:rPr>
        <w:t>）</w:t>
      </w:r>
      <w:r>
        <w:rPr>
          <w:rFonts w:hint="eastAsia" w:asciiTheme="minorEastAsia" w:hAnsiTheme="minorEastAsia" w:eastAsiaTheme="minorEastAsia" w:cstheme="minorEastAsia"/>
          <w:color w:val="auto"/>
          <w:kern w:val="2"/>
          <w:sz w:val="24"/>
          <w:szCs w:val="24"/>
          <w:highlight w:val="none"/>
          <w:lang w:bidi="ar"/>
        </w:rPr>
        <w:t>固定资产利用率。本局加强资产管理，充分利用现有固定资产，固定资产利用率为100%。</w:t>
      </w:r>
    </w:p>
    <w:p>
      <w:pPr>
        <w:spacing w:line="600" w:lineRule="exact"/>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2</w:t>
      </w:r>
      <w:r>
        <w:rPr>
          <w:rFonts w:hint="eastAsia" w:asciiTheme="minorEastAsia" w:hAnsiTheme="minorEastAsia" w:eastAsiaTheme="minorEastAsia" w:cstheme="minorEastAsia"/>
          <w:b/>
          <w:bCs/>
          <w:color w:val="auto"/>
          <w:sz w:val="24"/>
          <w:szCs w:val="24"/>
          <w:highlight w:val="none"/>
          <w:lang w:val="en-US" w:eastAsia="zh-CN"/>
        </w:rPr>
        <w:t>.</w:t>
      </w:r>
      <w:r>
        <w:rPr>
          <w:rFonts w:hint="eastAsia" w:asciiTheme="minorEastAsia" w:hAnsiTheme="minorEastAsia" w:eastAsiaTheme="minorEastAsia" w:cstheme="minorEastAsia"/>
          <w:b/>
          <w:bCs/>
          <w:color w:val="auto"/>
          <w:sz w:val="24"/>
          <w:szCs w:val="24"/>
          <w:highlight w:val="none"/>
        </w:rPr>
        <w:t>效益指标（30分</w:t>
      </w: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kern w:val="2"/>
          <w:sz w:val="24"/>
          <w:szCs w:val="24"/>
          <w:highlight w:val="none"/>
          <w:lang w:bidi="ar"/>
        </w:rPr>
        <w:t>得</w:t>
      </w:r>
      <w:r>
        <w:rPr>
          <w:rFonts w:hint="eastAsia" w:asciiTheme="minorEastAsia" w:hAnsiTheme="minorEastAsia" w:eastAsiaTheme="minorEastAsia" w:cstheme="minorEastAsia"/>
          <w:b/>
          <w:bCs/>
          <w:color w:val="auto"/>
          <w:kern w:val="2"/>
          <w:sz w:val="24"/>
          <w:szCs w:val="24"/>
          <w:highlight w:val="none"/>
          <w:lang w:val="en-US" w:eastAsia="zh-CN" w:bidi="ar"/>
        </w:rPr>
        <w:t>29</w:t>
      </w:r>
      <w:r>
        <w:rPr>
          <w:rFonts w:hint="eastAsia" w:asciiTheme="minorEastAsia" w:hAnsiTheme="minorEastAsia" w:eastAsiaTheme="minorEastAsia" w:cstheme="minorEastAsia"/>
          <w:b/>
          <w:bCs/>
          <w:color w:val="auto"/>
          <w:kern w:val="2"/>
          <w:sz w:val="24"/>
          <w:szCs w:val="24"/>
          <w:highlight w:val="none"/>
          <w:lang w:bidi="ar"/>
        </w:rPr>
        <w:t>分</w:t>
      </w:r>
      <w:r>
        <w:rPr>
          <w:rFonts w:hint="eastAsia" w:asciiTheme="minorEastAsia" w:hAnsiTheme="minorEastAsia" w:eastAsiaTheme="minorEastAsia" w:cstheme="minorEastAsia"/>
          <w:b/>
          <w:bCs/>
          <w:color w:val="auto"/>
          <w:sz w:val="24"/>
          <w:szCs w:val="24"/>
          <w:highlight w:val="none"/>
        </w:rPr>
        <w:t>）</w:t>
      </w:r>
    </w:p>
    <w:p>
      <w:pPr>
        <w:spacing w:line="600" w:lineRule="exact"/>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2.1经济效益</w:t>
      </w:r>
    </w:p>
    <w:p>
      <w:pPr>
        <w:pStyle w:val="6"/>
        <w:widowControl/>
        <w:shd w:val="clear" w:color="auto" w:fill="FFFFFF"/>
        <w:spacing w:beforeAutospacing="0" w:afterAutospacing="0" w:line="360" w:lineRule="auto"/>
        <w:ind w:firstLine="480" w:firstLineChars="200"/>
        <w:jc w:val="both"/>
        <w:rPr>
          <w:rFonts w:hint="eastAsia" w:asciiTheme="minorEastAsia" w:hAnsiTheme="minorEastAsia" w:eastAsiaTheme="minorEastAsia" w:cstheme="minorEastAsia"/>
          <w:color w:val="auto"/>
          <w:kern w:val="2"/>
          <w:sz w:val="24"/>
          <w:szCs w:val="24"/>
          <w:highlight w:val="none"/>
          <w:lang w:bidi="ar"/>
        </w:rPr>
      </w:pPr>
      <w:r>
        <w:rPr>
          <w:rFonts w:hint="eastAsia" w:asciiTheme="minorEastAsia" w:hAnsiTheme="minorEastAsia" w:eastAsiaTheme="minorEastAsia" w:cstheme="minorEastAsia"/>
          <w:color w:val="auto"/>
          <w:sz w:val="24"/>
          <w:szCs w:val="24"/>
          <w:highlight w:val="none"/>
        </w:rPr>
        <w:t>1-12月，全州规模工业增加值增速18.1%、两年平均增速11.1%，累计增速高于全国和全省平均水平、排名全省第一；其中，工业投资完成 80.1亿元、同比增长0.7%、两年平均增长18.2%，制造业投资完成56.5 亿元、同比增长11.8%；工业税收完成 15亿元、同比增长59.2%；工业贷款余额74.7亿元、同比增长7.3%，拉动作用增强。为全州经济社会发展提供了强有力支撑。</w:t>
      </w:r>
      <w:r>
        <w:rPr>
          <w:rFonts w:hint="eastAsia" w:asciiTheme="minorEastAsia" w:hAnsiTheme="minorEastAsia" w:eastAsiaTheme="minorEastAsia" w:cstheme="minorEastAsia"/>
          <w:color w:val="auto"/>
          <w:sz w:val="24"/>
          <w:szCs w:val="24"/>
          <w:highlight w:val="none"/>
          <w:lang w:val="en-US" w:eastAsia="zh-CN"/>
        </w:rPr>
        <w:t>2021年，我州</w:t>
      </w:r>
      <w:r>
        <w:rPr>
          <w:rFonts w:hint="eastAsia" w:asciiTheme="minorEastAsia" w:hAnsiTheme="minorEastAsia" w:eastAsiaTheme="minorEastAsia" w:cstheme="minorEastAsia"/>
          <w:color w:val="auto"/>
          <w:sz w:val="24"/>
          <w:szCs w:val="24"/>
          <w:highlight w:val="none"/>
        </w:rPr>
        <w:t>营商环境持续改善</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与州农行签订产业链支持战略合作协议，在3年合作期内为9条产业链企业累计提供各项融资不低于20亿元。积极搭建中小企业融资服务平台，努力缓解企业融资难、融资贵问题</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州应急转贷资金完成98笔转贷业务，涉及续贷资金6.16亿元，共计应收综合费68.21万元，实收47.75万元，减免30%。积极协调电价优惠政策，全州工业企业享受电价优惠额度达1.32亿元。</w:t>
      </w:r>
      <w:r>
        <w:rPr>
          <w:rFonts w:hint="eastAsia" w:asciiTheme="minorEastAsia" w:hAnsiTheme="minorEastAsia" w:eastAsiaTheme="minorEastAsia" w:cstheme="minorEastAsia"/>
          <w:color w:val="auto"/>
          <w:kern w:val="2"/>
          <w:sz w:val="24"/>
          <w:szCs w:val="24"/>
          <w:highlight w:val="none"/>
          <w:lang w:bidi="ar"/>
        </w:rPr>
        <w:t xml:space="preserve">  </w:t>
      </w:r>
    </w:p>
    <w:p>
      <w:pPr>
        <w:pStyle w:val="6"/>
        <w:widowControl/>
        <w:shd w:val="clear" w:color="auto" w:fill="FFFFFF"/>
        <w:spacing w:beforeAutospacing="0" w:afterAutospacing="0" w:line="360" w:lineRule="auto"/>
        <w:jc w:val="both"/>
        <w:rPr>
          <w:rFonts w:hint="eastAsia" w:asciiTheme="minorEastAsia" w:hAnsiTheme="minorEastAsia" w:eastAsiaTheme="minorEastAsia" w:cstheme="minorEastAsia"/>
          <w:b/>
          <w:bCs/>
          <w:color w:val="auto"/>
          <w:kern w:val="2"/>
          <w:sz w:val="24"/>
          <w:szCs w:val="24"/>
          <w:highlight w:val="none"/>
          <w:lang w:bidi="ar"/>
        </w:rPr>
      </w:pPr>
      <w:r>
        <w:rPr>
          <w:rFonts w:hint="eastAsia" w:asciiTheme="minorEastAsia" w:hAnsiTheme="minorEastAsia" w:eastAsiaTheme="minorEastAsia" w:cstheme="minorEastAsia"/>
          <w:b/>
          <w:bCs/>
          <w:color w:val="auto"/>
          <w:kern w:val="2"/>
          <w:sz w:val="24"/>
          <w:szCs w:val="24"/>
          <w:highlight w:val="none"/>
          <w:lang w:bidi="ar"/>
        </w:rPr>
        <w:t>2.2社会效益分析</w:t>
      </w:r>
    </w:p>
    <w:p>
      <w:pPr>
        <w:spacing w:line="580" w:lineRule="exact"/>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bidi="ar"/>
        </w:rPr>
        <w:t>202</w:t>
      </w:r>
      <w:r>
        <w:rPr>
          <w:rFonts w:hint="eastAsia" w:asciiTheme="minorEastAsia" w:hAnsiTheme="minorEastAsia" w:eastAsiaTheme="minorEastAsia" w:cstheme="minorEastAsia"/>
          <w:color w:val="auto"/>
          <w:kern w:val="0"/>
          <w:sz w:val="24"/>
          <w:szCs w:val="24"/>
          <w:highlight w:val="none"/>
          <w:lang w:val="en-US" w:eastAsia="zh-CN" w:bidi="ar"/>
        </w:rPr>
        <w:t>1</w:t>
      </w:r>
      <w:r>
        <w:rPr>
          <w:rFonts w:hint="eastAsia" w:asciiTheme="minorEastAsia" w:hAnsiTheme="minorEastAsia" w:eastAsiaTheme="minorEastAsia" w:cstheme="minorEastAsia"/>
          <w:color w:val="auto"/>
          <w:kern w:val="0"/>
          <w:sz w:val="24"/>
          <w:szCs w:val="24"/>
          <w:highlight w:val="none"/>
          <w:lang w:bidi="ar"/>
        </w:rPr>
        <w:t>年，在州委、州政府的坚强领导下，</w:t>
      </w:r>
      <w:r>
        <w:rPr>
          <w:rFonts w:hint="eastAsia" w:asciiTheme="minorEastAsia" w:hAnsiTheme="minorEastAsia" w:eastAsiaTheme="minorEastAsia" w:cstheme="minorEastAsia"/>
          <w:color w:val="auto"/>
          <w:sz w:val="24"/>
          <w:szCs w:val="24"/>
          <w:highlight w:val="none"/>
        </w:rPr>
        <w:t>全州工信工作聚焦“三高四新”战略定位和使命任务，聚焦打造“三区两地”和建设“五个湘西”，坚持“速度优先、优势优先”方针，以优势产业链建设为总揽，突出项目建设、企业培育、环境优化，工业经济实现高速增长，制造业高质量发展迈出坚实步伐</w:t>
      </w:r>
      <w:r>
        <w:rPr>
          <w:rFonts w:hint="eastAsia" w:asciiTheme="minorEastAsia" w:hAnsiTheme="minorEastAsia" w:eastAsiaTheme="minorEastAsia" w:cstheme="minorEastAsia"/>
          <w:color w:val="auto"/>
          <w:sz w:val="24"/>
          <w:szCs w:val="24"/>
          <w:highlight w:val="none"/>
          <w:lang w:eastAsia="zh-CN"/>
        </w:rPr>
        <w:t>，积极协调电价优惠政策，全州工业企业享受电价优惠额度达1.32亿元</w:t>
      </w:r>
      <w:r>
        <w:rPr>
          <w:rFonts w:hint="eastAsia" w:asciiTheme="minorEastAsia" w:hAnsiTheme="minorEastAsia" w:eastAsiaTheme="minorEastAsia" w:cstheme="minorEastAsia"/>
          <w:color w:val="auto"/>
          <w:sz w:val="24"/>
          <w:szCs w:val="24"/>
          <w:highlight w:val="none"/>
        </w:rPr>
        <w:t>，提振企业发展信心</w:t>
      </w:r>
      <w:bookmarkStart w:id="14" w:name="_Hlk75405634"/>
      <w:r>
        <w:rPr>
          <w:rFonts w:hint="eastAsia" w:asciiTheme="minorEastAsia" w:hAnsiTheme="minorEastAsia" w:eastAsiaTheme="minorEastAsia" w:cstheme="minorEastAsia"/>
          <w:color w:val="auto"/>
          <w:kern w:val="0"/>
          <w:sz w:val="24"/>
          <w:szCs w:val="24"/>
          <w:highlight w:val="none"/>
          <w:lang w:bidi="ar"/>
        </w:rPr>
        <w:t>为全州经济社会快速发展做出了积极贡献</w:t>
      </w:r>
      <w:bookmarkEnd w:id="14"/>
      <w:r>
        <w:rPr>
          <w:rFonts w:hint="eastAsia" w:asciiTheme="minorEastAsia" w:hAnsiTheme="minorEastAsia" w:eastAsiaTheme="minorEastAsia" w:cstheme="minorEastAsia"/>
          <w:color w:val="auto"/>
          <w:kern w:val="0"/>
          <w:sz w:val="24"/>
          <w:szCs w:val="24"/>
          <w:highlight w:val="none"/>
          <w:lang w:bidi="ar"/>
        </w:rPr>
        <w:t>。</w:t>
      </w:r>
    </w:p>
    <w:p>
      <w:pPr>
        <w:pStyle w:val="6"/>
        <w:widowControl/>
        <w:shd w:val="clear" w:color="auto" w:fill="FFFFFF"/>
        <w:spacing w:before="183" w:beforeLines="50" w:beforeAutospacing="0" w:afterAutospacing="0" w:line="360" w:lineRule="auto"/>
        <w:jc w:val="both"/>
        <w:rPr>
          <w:rFonts w:hint="eastAsia" w:asciiTheme="minorEastAsia" w:hAnsiTheme="minorEastAsia" w:eastAsiaTheme="minorEastAsia" w:cstheme="minorEastAsia"/>
          <w:b/>
          <w:bCs/>
          <w:color w:val="FF0000"/>
          <w:kern w:val="2"/>
          <w:sz w:val="24"/>
          <w:szCs w:val="24"/>
          <w:highlight w:val="none"/>
          <w:lang w:bidi="ar"/>
        </w:rPr>
      </w:pPr>
      <w:r>
        <w:rPr>
          <w:rFonts w:hint="eastAsia" w:asciiTheme="minorEastAsia" w:hAnsiTheme="minorEastAsia" w:eastAsiaTheme="minorEastAsia" w:cstheme="minorEastAsia"/>
          <w:b/>
          <w:bCs/>
          <w:color w:val="FF0000"/>
          <w:kern w:val="2"/>
          <w:sz w:val="24"/>
          <w:szCs w:val="24"/>
          <w:highlight w:val="none"/>
          <w:lang w:bidi="ar"/>
        </w:rPr>
        <w:t>2.3</w:t>
      </w:r>
      <w:r>
        <w:rPr>
          <w:rFonts w:hint="eastAsia" w:asciiTheme="minorEastAsia" w:hAnsiTheme="minorEastAsia" w:eastAsiaTheme="minorEastAsia" w:cstheme="minorEastAsia"/>
          <w:b/>
          <w:bCs/>
          <w:color w:val="FF0000"/>
          <w:kern w:val="2"/>
          <w:sz w:val="24"/>
          <w:szCs w:val="24"/>
          <w:highlight w:val="none"/>
          <w:lang w:val="en-US" w:eastAsia="zh-CN" w:bidi="ar"/>
        </w:rPr>
        <w:t xml:space="preserve"> </w:t>
      </w:r>
      <w:r>
        <w:rPr>
          <w:rFonts w:hint="eastAsia" w:asciiTheme="minorEastAsia" w:hAnsiTheme="minorEastAsia" w:eastAsiaTheme="minorEastAsia" w:cstheme="minorEastAsia"/>
          <w:b/>
          <w:bCs/>
          <w:color w:val="FF0000"/>
          <w:kern w:val="2"/>
          <w:sz w:val="24"/>
          <w:szCs w:val="24"/>
          <w:highlight w:val="none"/>
          <w:lang w:bidi="ar"/>
        </w:rPr>
        <w:t>生态效益和可持续性分析</w:t>
      </w:r>
    </w:p>
    <w:p>
      <w:pPr>
        <w:spacing w:line="580" w:lineRule="exact"/>
        <w:ind w:firstLine="480" w:firstLineChars="20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rPr>
        <w:t>深入开展“产业项目建设年”活动，</w:t>
      </w:r>
      <w:r>
        <w:rPr>
          <w:rFonts w:hint="eastAsia" w:asciiTheme="minorEastAsia" w:hAnsiTheme="minorEastAsia" w:eastAsiaTheme="minorEastAsia" w:cstheme="minorEastAsia"/>
          <w:color w:val="auto"/>
          <w:sz w:val="24"/>
          <w:szCs w:val="24"/>
          <w:highlight w:val="none"/>
          <w:lang w:val="en-US" w:eastAsia="zh-CN"/>
        </w:rPr>
        <w:t>2021年我州动态调度的100个工业项目完成投资22.6亿元。酒鬼生产三区、立研锂电池、奥科新材料等一批重点产业项目开工建设；华美兴泰移动储能等26个项目建成投产，发展后劲不断增强。4个“省产品创新强基”项目建成投产,累计完成投资1.33亿元，突破关键技术11项。通信基础设施建设完成投资5.4亿元，新建5G基站1320个，超额完成全年任务，发挥投资对工业增长的拉动作用，形成“开工一批、建设一批、投产一批”的项目推进格局。</w:t>
      </w:r>
      <w:r>
        <w:rPr>
          <w:rFonts w:hint="eastAsia" w:asciiTheme="minorEastAsia" w:hAnsiTheme="minorEastAsia" w:eastAsiaTheme="minorEastAsia" w:cstheme="minorEastAsia"/>
          <w:color w:val="auto"/>
          <w:sz w:val="24"/>
          <w:szCs w:val="24"/>
          <w:highlight w:val="none"/>
        </w:rPr>
        <w:t>积极支持配合生态环境保护督察“回头看”、为我州全省提前完成“散乱污”企业整治做出了积极贡献</w:t>
      </w:r>
      <w:r>
        <w:rPr>
          <w:rFonts w:hint="eastAsia" w:asciiTheme="minorEastAsia" w:hAnsiTheme="minorEastAsia" w:eastAsiaTheme="minorEastAsia" w:cstheme="minorEastAsia"/>
          <w:color w:val="auto"/>
          <w:sz w:val="24"/>
          <w:szCs w:val="24"/>
          <w:highlight w:val="none"/>
          <w:lang w:eastAsia="zh-CN"/>
        </w:rPr>
        <w:t>。</w:t>
      </w:r>
    </w:p>
    <w:p>
      <w:pPr>
        <w:pStyle w:val="6"/>
        <w:widowControl/>
        <w:shd w:val="clear" w:color="auto" w:fill="FFFFFF"/>
        <w:spacing w:before="183" w:beforeLines="50" w:beforeAutospacing="0" w:afterAutospacing="0" w:line="360" w:lineRule="auto"/>
        <w:jc w:val="both"/>
        <w:rPr>
          <w:rFonts w:hint="eastAsia" w:asciiTheme="minorEastAsia" w:hAnsiTheme="minorEastAsia" w:eastAsiaTheme="minorEastAsia" w:cstheme="minorEastAsia"/>
          <w:b/>
          <w:bCs/>
          <w:color w:val="FF0000"/>
          <w:kern w:val="2"/>
          <w:sz w:val="24"/>
          <w:szCs w:val="24"/>
          <w:highlight w:val="none"/>
          <w:lang w:bidi="ar"/>
        </w:rPr>
      </w:pPr>
      <w:r>
        <w:rPr>
          <w:rFonts w:hint="eastAsia" w:asciiTheme="minorEastAsia" w:hAnsiTheme="minorEastAsia" w:eastAsiaTheme="minorEastAsia" w:cstheme="minorEastAsia"/>
          <w:b/>
          <w:bCs/>
          <w:color w:val="FF0000"/>
          <w:kern w:val="2"/>
          <w:sz w:val="24"/>
          <w:szCs w:val="24"/>
          <w:highlight w:val="none"/>
          <w:lang w:bidi="ar"/>
        </w:rPr>
        <w:t>3</w:t>
      </w:r>
      <w:r>
        <w:rPr>
          <w:rFonts w:hint="eastAsia" w:asciiTheme="minorEastAsia" w:hAnsiTheme="minorEastAsia" w:eastAsiaTheme="minorEastAsia" w:cstheme="minorEastAsia"/>
          <w:b/>
          <w:bCs/>
          <w:color w:val="FF0000"/>
          <w:kern w:val="2"/>
          <w:sz w:val="24"/>
          <w:szCs w:val="24"/>
          <w:highlight w:val="none"/>
          <w:lang w:eastAsia="zh-CN" w:bidi="ar"/>
        </w:rPr>
        <w:t>.</w:t>
      </w:r>
      <w:r>
        <w:rPr>
          <w:rFonts w:hint="eastAsia" w:asciiTheme="minorEastAsia" w:hAnsiTheme="minorEastAsia" w:eastAsiaTheme="minorEastAsia" w:cstheme="minorEastAsia"/>
          <w:b/>
          <w:bCs/>
          <w:color w:val="FF0000"/>
          <w:kern w:val="2"/>
          <w:sz w:val="24"/>
          <w:szCs w:val="24"/>
          <w:highlight w:val="none"/>
          <w:lang w:bidi="ar"/>
        </w:rPr>
        <w:t>满意度指标（10分</w:t>
      </w:r>
      <w:r>
        <w:rPr>
          <w:rFonts w:hint="eastAsia" w:asciiTheme="minorEastAsia" w:hAnsiTheme="minorEastAsia" w:eastAsiaTheme="minorEastAsia" w:cstheme="minorEastAsia"/>
          <w:b/>
          <w:bCs/>
          <w:color w:val="FF0000"/>
          <w:kern w:val="2"/>
          <w:sz w:val="24"/>
          <w:szCs w:val="24"/>
          <w:highlight w:val="none"/>
          <w:lang w:eastAsia="zh-CN" w:bidi="ar"/>
        </w:rPr>
        <w:t>，得</w:t>
      </w:r>
      <w:r>
        <w:rPr>
          <w:rFonts w:hint="eastAsia" w:asciiTheme="minorEastAsia" w:hAnsiTheme="minorEastAsia" w:eastAsiaTheme="minorEastAsia" w:cstheme="minorEastAsia"/>
          <w:b/>
          <w:bCs/>
          <w:color w:val="FF0000"/>
          <w:kern w:val="2"/>
          <w:sz w:val="24"/>
          <w:szCs w:val="24"/>
          <w:highlight w:val="none"/>
          <w:lang w:val="en-US" w:eastAsia="zh-CN" w:bidi="ar"/>
        </w:rPr>
        <w:t>10</w:t>
      </w:r>
      <w:r>
        <w:rPr>
          <w:rFonts w:hint="eastAsia" w:asciiTheme="minorEastAsia" w:hAnsiTheme="minorEastAsia" w:eastAsiaTheme="minorEastAsia" w:cstheme="minorEastAsia"/>
          <w:b/>
          <w:bCs/>
          <w:color w:val="FF0000"/>
          <w:kern w:val="2"/>
          <w:sz w:val="24"/>
          <w:szCs w:val="24"/>
          <w:highlight w:val="none"/>
          <w:lang w:eastAsia="zh-CN" w:bidi="ar"/>
        </w:rPr>
        <w:t>分</w:t>
      </w:r>
      <w:r>
        <w:rPr>
          <w:rFonts w:hint="eastAsia" w:asciiTheme="minorEastAsia" w:hAnsiTheme="minorEastAsia" w:eastAsiaTheme="minorEastAsia" w:cstheme="minorEastAsia"/>
          <w:b/>
          <w:bCs/>
          <w:color w:val="FF0000"/>
          <w:kern w:val="2"/>
          <w:sz w:val="24"/>
          <w:szCs w:val="24"/>
          <w:highlight w:val="none"/>
          <w:lang w:bidi="ar"/>
        </w:rPr>
        <w:t>）</w:t>
      </w:r>
    </w:p>
    <w:p>
      <w:pPr>
        <w:spacing w:line="580" w:lineRule="exact"/>
        <w:ind w:firstLine="480" w:firstLineChars="200"/>
        <w:rPr>
          <w:rFonts w:hint="eastAsia" w:asciiTheme="minorEastAsia" w:hAnsiTheme="minorEastAsia" w:eastAsiaTheme="minorEastAsia" w:cstheme="minorEastAsia"/>
          <w:color w:val="auto"/>
          <w:kern w:val="0"/>
          <w:sz w:val="24"/>
          <w:szCs w:val="24"/>
          <w:highlight w:val="none"/>
          <w:lang w:eastAsia="zh-CN" w:bidi="ar"/>
        </w:rPr>
      </w:pPr>
      <w:r>
        <w:rPr>
          <w:rFonts w:hint="eastAsia" w:asciiTheme="minorEastAsia" w:hAnsiTheme="minorEastAsia" w:eastAsiaTheme="minorEastAsia" w:cstheme="minorEastAsia"/>
          <w:color w:val="auto"/>
          <w:kern w:val="0"/>
          <w:sz w:val="24"/>
          <w:szCs w:val="24"/>
          <w:highlight w:val="none"/>
          <w:lang w:bidi="ar"/>
        </w:rPr>
        <w:t>202</w:t>
      </w:r>
      <w:r>
        <w:rPr>
          <w:rFonts w:hint="eastAsia" w:asciiTheme="minorEastAsia" w:hAnsiTheme="minorEastAsia" w:eastAsiaTheme="minorEastAsia" w:cstheme="minorEastAsia"/>
          <w:color w:val="auto"/>
          <w:kern w:val="0"/>
          <w:sz w:val="24"/>
          <w:szCs w:val="24"/>
          <w:highlight w:val="none"/>
          <w:lang w:val="en-US" w:eastAsia="zh-CN" w:bidi="ar"/>
        </w:rPr>
        <w:t>1</w:t>
      </w:r>
      <w:r>
        <w:rPr>
          <w:rFonts w:hint="eastAsia" w:asciiTheme="minorEastAsia" w:hAnsiTheme="minorEastAsia" w:eastAsiaTheme="minorEastAsia" w:cstheme="minorEastAsia"/>
          <w:color w:val="auto"/>
          <w:kern w:val="0"/>
          <w:sz w:val="24"/>
          <w:szCs w:val="24"/>
          <w:highlight w:val="none"/>
          <w:lang w:bidi="ar"/>
        </w:rPr>
        <w:t>年，本局</w:t>
      </w:r>
      <w:r>
        <w:rPr>
          <w:rFonts w:hint="eastAsia" w:asciiTheme="minorEastAsia" w:hAnsiTheme="minorEastAsia" w:eastAsiaTheme="minorEastAsia" w:cstheme="minorEastAsia"/>
          <w:color w:val="auto"/>
          <w:sz w:val="24"/>
          <w:szCs w:val="24"/>
          <w:highlight w:val="none"/>
        </w:rPr>
        <w:t>在州委、州政府的坚强领导下</w:t>
      </w:r>
      <w:r>
        <w:rPr>
          <w:rFonts w:hint="eastAsia" w:asciiTheme="minorEastAsia" w:hAnsiTheme="minorEastAsia" w:eastAsiaTheme="minorEastAsia" w:cstheme="minorEastAsia"/>
          <w:color w:val="auto"/>
          <w:kern w:val="0"/>
          <w:sz w:val="24"/>
          <w:szCs w:val="24"/>
          <w:highlight w:val="none"/>
          <w:lang w:bidi="ar"/>
        </w:rPr>
        <w:t>，全局干部职工切实转变工作作风</w:t>
      </w:r>
      <w:r>
        <w:rPr>
          <w:rFonts w:hint="eastAsia" w:asciiTheme="minorEastAsia" w:hAnsiTheme="minorEastAsia" w:eastAsiaTheme="minorEastAsia" w:cstheme="minorEastAsia"/>
          <w:color w:val="auto"/>
          <w:sz w:val="24"/>
          <w:szCs w:val="24"/>
          <w:highlight w:val="none"/>
        </w:rPr>
        <w:t>，为全面提升服务制造业高质量发展的能力和水平有了坚实的基础，全州工信工作聚焦“三高四新”战略定位和使命任务，聚焦打造“三区两地”和建设“五个湘西”，坚持“速度优先、优势优先”方针，以优势产业链建设为总揽，突出项目建设、企业培育、环境优化，工业经济实现高速增长，制造业高质量发展迈出坚实步伐。全局干部职工锐意进取，真抓实干，推动工业经济加快恢复性增长，为广大人民群众奋力交出了一份</w:t>
      </w:r>
      <w:r>
        <w:rPr>
          <w:rFonts w:hint="eastAsia" w:asciiTheme="minorEastAsia" w:hAnsiTheme="minorEastAsia" w:eastAsiaTheme="minorEastAsia" w:cstheme="minorEastAsia"/>
          <w:color w:val="auto"/>
          <w:kern w:val="0"/>
          <w:sz w:val="24"/>
          <w:szCs w:val="24"/>
          <w:highlight w:val="none"/>
          <w:lang w:bidi="ar"/>
        </w:rPr>
        <w:t>社会公众满意的答卷</w:t>
      </w:r>
      <w:r>
        <w:rPr>
          <w:rFonts w:hint="eastAsia" w:asciiTheme="minorEastAsia" w:hAnsiTheme="minorEastAsia" w:eastAsiaTheme="minorEastAsia" w:cstheme="minorEastAsia"/>
          <w:color w:val="auto"/>
          <w:kern w:val="0"/>
          <w:sz w:val="24"/>
          <w:szCs w:val="24"/>
          <w:highlight w:val="none"/>
          <w:lang w:eastAsia="zh-CN" w:bidi="ar"/>
        </w:rPr>
        <w:t>。</w:t>
      </w:r>
    </w:p>
    <w:p>
      <w:pPr>
        <w:spacing w:before="183" w:beforeLines="50" w:after="183" w:afterLines="50" w:line="600" w:lineRule="exact"/>
        <w:rPr>
          <w:rFonts w:hint="eastAsia" w:asciiTheme="minorEastAsia" w:hAnsiTheme="minorEastAsia" w:eastAsiaTheme="minorEastAsia" w:cstheme="minorEastAsia"/>
          <w:b/>
          <w:bCs/>
          <w:color w:val="FF0000"/>
          <w:sz w:val="24"/>
          <w:szCs w:val="24"/>
          <w:highlight w:val="none"/>
        </w:rPr>
      </w:pPr>
      <w:r>
        <w:rPr>
          <w:rFonts w:hint="eastAsia" w:asciiTheme="minorEastAsia" w:hAnsiTheme="minorEastAsia" w:eastAsiaTheme="minorEastAsia" w:cstheme="minorEastAsia"/>
          <w:b/>
          <w:bCs/>
          <w:color w:val="FF0000"/>
          <w:sz w:val="24"/>
          <w:szCs w:val="24"/>
          <w:highlight w:val="none"/>
        </w:rPr>
        <w:t>七、综合评价情况及评价结论</w:t>
      </w:r>
    </w:p>
    <w:p>
      <w:pPr>
        <w:spacing w:line="600" w:lineRule="exact"/>
        <w:ind w:firstLine="480" w:firstLineChars="200"/>
        <w:rPr>
          <w:rFonts w:hint="eastAsia" w:asciiTheme="minorEastAsia" w:hAnsiTheme="minorEastAsia" w:eastAsiaTheme="minorEastAsia" w:cstheme="minorEastAsia"/>
          <w:color w:val="FF0000"/>
          <w:sz w:val="24"/>
          <w:szCs w:val="24"/>
          <w:highlight w:val="none"/>
          <w:lang w:eastAsia="zh-CN"/>
        </w:rPr>
      </w:pPr>
      <w:r>
        <w:rPr>
          <w:rFonts w:hint="eastAsia" w:asciiTheme="minorEastAsia" w:hAnsiTheme="minorEastAsia" w:eastAsiaTheme="minorEastAsia" w:cstheme="minorEastAsia"/>
          <w:color w:val="FF0000"/>
          <w:sz w:val="24"/>
          <w:szCs w:val="24"/>
          <w:highlight w:val="none"/>
        </w:rPr>
        <w:t>通过此次绩效自评，本</w:t>
      </w:r>
      <w:r>
        <w:rPr>
          <w:rFonts w:hint="eastAsia" w:asciiTheme="minorEastAsia" w:hAnsiTheme="minorEastAsia" w:eastAsiaTheme="minorEastAsia" w:cstheme="minorEastAsia"/>
          <w:color w:val="FF0000"/>
          <w:sz w:val="24"/>
          <w:szCs w:val="24"/>
          <w:highlight w:val="none"/>
          <w:lang w:val="en-US" w:eastAsia="zh-CN"/>
        </w:rPr>
        <w:t>单位</w:t>
      </w:r>
      <w:r>
        <w:rPr>
          <w:rFonts w:hint="eastAsia" w:asciiTheme="minorEastAsia" w:hAnsiTheme="minorEastAsia" w:eastAsiaTheme="minorEastAsia" w:cstheme="minorEastAsia"/>
          <w:color w:val="FF0000"/>
          <w:sz w:val="24"/>
          <w:szCs w:val="24"/>
          <w:highlight w:val="none"/>
        </w:rPr>
        <w:t>部门整体支出绩效自评得分为</w:t>
      </w:r>
      <w:r>
        <w:rPr>
          <w:rFonts w:hint="eastAsia" w:asciiTheme="minorEastAsia" w:hAnsiTheme="minorEastAsia" w:eastAsiaTheme="minorEastAsia" w:cstheme="minorEastAsia"/>
          <w:color w:val="FF0000"/>
          <w:sz w:val="24"/>
          <w:szCs w:val="24"/>
          <w:highlight w:val="none"/>
          <w:lang w:val="en-US" w:eastAsia="zh-CN"/>
        </w:rPr>
        <w:t>98.36</w:t>
      </w:r>
      <w:r>
        <w:rPr>
          <w:rFonts w:hint="eastAsia" w:asciiTheme="minorEastAsia" w:hAnsiTheme="minorEastAsia" w:eastAsiaTheme="minorEastAsia" w:cstheme="minorEastAsia"/>
          <w:color w:val="FF0000"/>
          <w:sz w:val="24"/>
          <w:szCs w:val="24"/>
          <w:highlight w:val="none"/>
        </w:rPr>
        <w:t>分，其中：年度资金</w:t>
      </w:r>
      <w:r>
        <w:rPr>
          <w:rFonts w:hint="eastAsia" w:asciiTheme="minorEastAsia" w:hAnsiTheme="minorEastAsia" w:eastAsiaTheme="minorEastAsia" w:cstheme="minorEastAsia"/>
          <w:color w:val="auto"/>
          <w:sz w:val="24"/>
          <w:szCs w:val="24"/>
          <w:highlight w:val="none"/>
        </w:rPr>
        <w:t>总额</w:t>
      </w:r>
      <w:r>
        <w:rPr>
          <w:rFonts w:hint="eastAsia" w:asciiTheme="minorEastAsia" w:hAnsiTheme="minorEastAsia" w:eastAsiaTheme="minorEastAsia" w:cstheme="minorEastAsia"/>
          <w:color w:val="auto"/>
          <w:sz w:val="24"/>
          <w:szCs w:val="24"/>
          <w:highlight w:val="none"/>
          <w:lang w:val="en-US" w:eastAsia="zh-CN"/>
        </w:rPr>
        <w:t>9.36</w:t>
      </w:r>
      <w:r>
        <w:rPr>
          <w:rFonts w:hint="eastAsia" w:asciiTheme="minorEastAsia" w:hAnsiTheme="minorEastAsia" w:eastAsiaTheme="minorEastAsia" w:cstheme="minorEastAsia"/>
          <w:color w:val="auto"/>
          <w:sz w:val="24"/>
          <w:szCs w:val="24"/>
          <w:highlight w:val="none"/>
        </w:rPr>
        <w:t>分，产出指标</w:t>
      </w:r>
      <w:r>
        <w:rPr>
          <w:rFonts w:hint="eastAsia" w:asciiTheme="minorEastAsia" w:hAnsiTheme="minorEastAsia" w:eastAsiaTheme="minorEastAsia" w:cstheme="minorEastAsia"/>
          <w:color w:val="auto"/>
          <w:sz w:val="24"/>
          <w:szCs w:val="24"/>
          <w:highlight w:val="none"/>
          <w:lang w:val="en-US" w:eastAsia="zh-CN"/>
        </w:rPr>
        <w:t>50</w:t>
      </w:r>
      <w:r>
        <w:rPr>
          <w:rFonts w:hint="eastAsia" w:asciiTheme="minorEastAsia" w:hAnsiTheme="minorEastAsia" w:eastAsiaTheme="minorEastAsia" w:cstheme="minorEastAsia"/>
          <w:color w:val="auto"/>
          <w:sz w:val="24"/>
          <w:szCs w:val="24"/>
          <w:highlight w:val="none"/>
        </w:rPr>
        <w:t>分，效益指标</w:t>
      </w:r>
      <w:r>
        <w:rPr>
          <w:rFonts w:hint="eastAsia" w:asciiTheme="minorEastAsia" w:hAnsiTheme="minorEastAsia" w:eastAsiaTheme="minorEastAsia" w:cstheme="minorEastAsia"/>
          <w:color w:val="auto"/>
          <w:sz w:val="24"/>
          <w:szCs w:val="24"/>
          <w:highlight w:val="none"/>
          <w:lang w:val="en-US" w:eastAsia="zh-CN"/>
        </w:rPr>
        <w:t>29</w:t>
      </w:r>
      <w:r>
        <w:rPr>
          <w:rFonts w:hint="eastAsia" w:asciiTheme="minorEastAsia" w:hAnsiTheme="minorEastAsia" w:eastAsiaTheme="minorEastAsia" w:cstheme="minorEastAsia"/>
          <w:color w:val="auto"/>
          <w:sz w:val="24"/>
          <w:szCs w:val="24"/>
          <w:highlight w:val="none"/>
        </w:rPr>
        <w:t>分，满意度指标10分，本局评价结果等次为“优”。详细评价情况见附件2【湘西州工业和信息化局整体支出绩效评价自评表】</w:t>
      </w:r>
      <w:r>
        <w:rPr>
          <w:rFonts w:hint="eastAsia" w:asciiTheme="minorEastAsia" w:hAnsiTheme="minorEastAsia" w:eastAsiaTheme="minorEastAsia" w:cstheme="minorEastAsia"/>
          <w:color w:val="auto"/>
          <w:sz w:val="24"/>
          <w:szCs w:val="24"/>
          <w:highlight w:val="none"/>
          <w:lang w:eastAsia="zh-CN"/>
        </w:rPr>
        <w:t>。</w:t>
      </w:r>
    </w:p>
    <w:tbl>
      <w:tblPr>
        <w:tblStyle w:val="8"/>
        <w:tblpPr w:leftFromText="180" w:rightFromText="180" w:vertAnchor="text" w:horzAnchor="page" w:tblpX="1857" w:tblpY="89"/>
        <w:tblOverlap w:val="never"/>
        <w:tblW w:w="8466" w:type="dxa"/>
        <w:tblInd w:w="0" w:type="dxa"/>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shd w:val="clear" w:color="auto" w:fill="FFFFFF"/>
        <w:tblLayout w:type="autofit"/>
        <w:tblCellMar>
          <w:top w:w="30" w:type="dxa"/>
          <w:left w:w="30" w:type="dxa"/>
          <w:bottom w:w="30" w:type="dxa"/>
          <w:right w:w="30" w:type="dxa"/>
        </w:tblCellMar>
      </w:tblPr>
      <w:tblGrid>
        <w:gridCol w:w="2063"/>
        <w:gridCol w:w="2064"/>
        <w:gridCol w:w="2064"/>
        <w:gridCol w:w="2275"/>
      </w:tblGrid>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shd w:val="clear" w:color="auto" w:fill="FFFFFF"/>
          <w:tblCellMar>
            <w:top w:w="30" w:type="dxa"/>
            <w:left w:w="30" w:type="dxa"/>
            <w:bottom w:w="30" w:type="dxa"/>
            <w:right w:w="30" w:type="dxa"/>
          </w:tblCellMar>
        </w:tblPrEx>
        <w:trPr>
          <w:trHeight w:val="613" w:hRule="atLeast"/>
        </w:trPr>
        <w:tc>
          <w:tcPr>
            <w:tcW w:w="2063" w:type="dxa"/>
            <w:tcBorders>
              <w:top w:val="outset" w:color="000000" w:sz="6" w:space="0"/>
              <w:left w:val="outset" w:color="000000" w:sz="6" w:space="0"/>
              <w:bottom w:val="outset" w:color="000000" w:sz="6" w:space="0"/>
              <w:right w:val="outset" w:color="000000" w:sz="6" w:space="0"/>
            </w:tcBorders>
            <w:shd w:val="clear" w:color="auto" w:fill="FFFFFF"/>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kern w:val="2"/>
                <w:sz w:val="28"/>
                <w:szCs w:val="28"/>
              </w:rPr>
            </w:pPr>
            <w:r>
              <w:rPr>
                <w:rFonts w:hint="eastAsia" w:ascii="宋体" w:hAnsi="宋体" w:eastAsia="宋体" w:cs="宋体"/>
                <w:b/>
                <w:bCs/>
                <w:color w:val="auto"/>
                <w:kern w:val="2"/>
                <w:sz w:val="28"/>
                <w:szCs w:val="28"/>
              </w:rPr>
              <w:t>一级指标</w:t>
            </w:r>
          </w:p>
        </w:tc>
        <w:tc>
          <w:tcPr>
            <w:tcW w:w="2064" w:type="dxa"/>
            <w:tcBorders>
              <w:top w:val="outset" w:color="000000" w:sz="6" w:space="0"/>
              <w:left w:val="outset" w:color="000000" w:sz="6" w:space="0"/>
              <w:bottom w:val="outset" w:color="000000" w:sz="6" w:space="0"/>
              <w:right w:val="outset" w:color="000000" w:sz="6" w:space="0"/>
            </w:tcBorders>
            <w:shd w:val="clear" w:color="auto" w:fill="FFFFFF"/>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kern w:val="2"/>
                <w:sz w:val="28"/>
                <w:szCs w:val="28"/>
              </w:rPr>
            </w:pPr>
            <w:r>
              <w:rPr>
                <w:rFonts w:hint="eastAsia" w:ascii="宋体" w:hAnsi="宋体" w:eastAsia="宋体" w:cs="宋体"/>
                <w:b/>
                <w:bCs/>
                <w:color w:val="auto"/>
                <w:kern w:val="2"/>
                <w:sz w:val="28"/>
                <w:szCs w:val="28"/>
              </w:rPr>
              <w:t>指标分值</w:t>
            </w:r>
          </w:p>
        </w:tc>
        <w:tc>
          <w:tcPr>
            <w:tcW w:w="2064" w:type="dxa"/>
            <w:tcBorders>
              <w:top w:val="outset" w:color="000000" w:sz="6" w:space="0"/>
              <w:left w:val="outset" w:color="000000" w:sz="6" w:space="0"/>
              <w:bottom w:val="outset" w:color="000000" w:sz="6" w:space="0"/>
              <w:right w:val="outset" w:color="000000" w:sz="6" w:space="0"/>
            </w:tcBorders>
            <w:shd w:val="clear" w:color="auto" w:fill="FFFFFF"/>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kern w:val="2"/>
                <w:sz w:val="28"/>
                <w:szCs w:val="28"/>
              </w:rPr>
            </w:pPr>
            <w:r>
              <w:rPr>
                <w:rFonts w:hint="eastAsia" w:ascii="宋体" w:hAnsi="宋体" w:eastAsia="宋体" w:cs="宋体"/>
                <w:b/>
                <w:bCs/>
                <w:color w:val="auto"/>
                <w:kern w:val="2"/>
                <w:sz w:val="28"/>
                <w:szCs w:val="28"/>
              </w:rPr>
              <w:t>自评得分</w:t>
            </w:r>
          </w:p>
        </w:tc>
        <w:tc>
          <w:tcPr>
            <w:tcW w:w="2275" w:type="dxa"/>
            <w:tcBorders>
              <w:top w:val="outset" w:color="000000" w:sz="6" w:space="0"/>
              <w:left w:val="outset" w:color="000000" w:sz="6" w:space="0"/>
              <w:bottom w:val="outset" w:color="000000" w:sz="6" w:space="0"/>
              <w:right w:val="outset" w:color="000000" w:sz="6" w:space="0"/>
            </w:tcBorders>
            <w:shd w:val="clear" w:color="auto" w:fill="FFFFFF"/>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kern w:val="2"/>
                <w:sz w:val="28"/>
                <w:szCs w:val="28"/>
              </w:rPr>
            </w:pPr>
            <w:r>
              <w:rPr>
                <w:rFonts w:hint="eastAsia" w:ascii="宋体" w:hAnsi="宋体" w:eastAsia="宋体" w:cs="宋体"/>
                <w:b/>
                <w:bCs/>
                <w:color w:val="auto"/>
                <w:kern w:val="2"/>
                <w:sz w:val="28"/>
                <w:szCs w:val="28"/>
              </w:rPr>
              <w:t>得分率</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shd w:val="clear" w:color="auto" w:fill="FFFFFF"/>
        </w:tblPrEx>
        <w:trPr>
          <w:trHeight w:val="583" w:hRule="atLeast"/>
        </w:trPr>
        <w:tc>
          <w:tcPr>
            <w:tcW w:w="2063" w:type="dxa"/>
            <w:tcBorders>
              <w:top w:val="outset" w:color="000000" w:sz="6" w:space="0"/>
              <w:left w:val="outset" w:color="000000" w:sz="6" w:space="0"/>
              <w:bottom w:val="outset" w:color="000000" w:sz="6" w:space="0"/>
              <w:right w:val="outset" w:color="000000" w:sz="6" w:space="0"/>
            </w:tcBorders>
            <w:shd w:val="clear" w:color="auto" w:fill="FFFFFF"/>
            <w:noWrap w:val="0"/>
            <w:tcMar>
              <w:top w:w="0" w:type="dxa"/>
              <w:left w:w="0" w:type="dxa"/>
              <w:bottom w:w="0" w:type="dxa"/>
              <w:right w:w="0" w:type="dxa"/>
            </w:tcMar>
            <w:vAlign w:val="center"/>
          </w:tcPr>
          <w:p>
            <w:pPr>
              <w:keepNext w:val="0"/>
              <w:keepLines w:val="0"/>
              <w:pageBreakBefore w:val="0"/>
              <w:suppressLineNumbers w:val="0"/>
              <w:kinsoku/>
              <w:wordWrap/>
              <w:overflowPunct/>
              <w:topLinePunct w:val="0"/>
              <w:autoSpaceDN/>
              <w:bidi w:val="0"/>
              <w:adjustRightInd/>
              <w:snapToGrid/>
              <w:spacing w:before="75" w:beforeAutospacing="0" w:after="75" w:afterAutospacing="0" w:line="360" w:lineRule="auto"/>
              <w:ind w:left="0" w:right="0"/>
              <w:jc w:val="left"/>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预算执行率</w:t>
            </w:r>
          </w:p>
        </w:tc>
        <w:tc>
          <w:tcPr>
            <w:tcW w:w="2064" w:type="dxa"/>
            <w:tcBorders>
              <w:top w:val="outset" w:color="000000" w:sz="6" w:space="0"/>
              <w:left w:val="outset" w:color="000000" w:sz="6" w:space="0"/>
              <w:bottom w:val="outset" w:color="000000" w:sz="6" w:space="0"/>
              <w:right w:val="outset" w:color="000000" w:sz="6" w:space="0"/>
            </w:tcBorders>
            <w:shd w:val="clear" w:color="auto" w:fill="FFFFFF"/>
            <w:noWrap w:val="0"/>
            <w:tcMar>
              <w:top w:w="0" w:type="dxa"/>
              <w:left w:w="0" w:type="dxa"/>
              <w:bottom w:w="0" w:type="dxa"/>
              <w:right w:w="0" w:type="dxa"/>
            </w:tcMar>
            <w:vAlign w:val="center"/>
          </w:tcPr>
          <w:p>
            <w:pPr>
              <w:keepNext w:val="0"/>
              <w:keepLines w:val="0"/>
              <w:pageBreakBefore w:val="0"/>
              <w:suppressLineNumbers w:val="0"/>
              <w:kinsoku/>
              <w:wordWrap/>
              <w:overflowPunct/>
              <w:topLinePunct w:val="0"/>
              <w:autoSpaceDN/>
              <w:bidi w:val="0"/>
              <w:adjustRightInd/>
              <w:snapToGrid/>
              <w:spacing w:before="75" w:beforeAutospacing="0" w:after="75" w:afterAutospacing="0" w:line="360" w:lineRule="auto"/>
              <w:ind w:left="0" w:right="0"/>
              <w:jc w:val="center"/>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10</w:t>
            </w:r>
          </w:p>
        </w:tc>
        <w:tc>
          <w:tcPr>
            <w:tcW w:w="2064" w:type="dxa"/>
            <w:tcBorders>
              <w:top w:val="outset" w:color="000000" w:sz="6" w:space="0"/>
              <w:left w:val="outset" w:color="000000" w:sz="6" w:space="0"/>
              <w:bottom w:val="outset" w:color="000000" w:sz="6" w:space="0"/>
              <w:right w:val="outset" w:color="000000" w:sz="6" w:space="0"/>
            </w:tcBorders>
            <w:shd w:val="clear" w:color="auto" w:fill="FFFFFF"/>
            <w:noWrap w:val="0"/>
            <w:tcMar>
              <w:top w:w="0" w:type="dxa"/>
              <w:left w:w="0" w:type="dxa"/>
              <w:bottom w:w="0" w:type="dxa"/>
              <w:right w:w="0" w:type="dxa"/>
            </w:tcMar>
            <w:vAlign w:val="center"/>
          </w:tcPr>
          <w:p>
            <w:pPr>
              <w:keepNext w:val="0"/>
              <w:keepLines w:val="0"/>
              <w:pageBreakBefore w:val="0"/>
              <w:suppressLineNumbers w:val="0"/>
              <w:kinsoku/>
              <w:wordWrap/>
              <w:overflowPunct/>
              <w:topLinePunct w:val="0"/>
              <w:autoSpaceDN/>
              <w:bidi w:val="0"/>
              <w:adjustRightInd/>
              <w:snapToGrid/>
              <w:spacing w:before="75" w:beforeAutospacing="0" w:after="75" w:afterAutospacing="0" w:line="360" w:lineRule="auto"/>
              <w:ind w:left="0" w:right="0"/>
              <w:jc w:val="center"/>
              <w:textAlignment w:val="auto"/>
              <w:rPr>
                <w:rFonts w:hint="default" w:ascii="宋体" w:hAnsi="宋体" w:eastAsia="宋体" w:cs="宋体"/>
                <w:color w:val="auto"/>
                <w:sz w:val="28"/>
                <w:szCs w:val="28"/>
                <w:lang w:val="en-US" w:eastAsia="zh-CN"/>
              </w:rPr>
            </w:pPr>
            <w:r>
              <w:rPr>
                <w:rFonts w:hint="eastAsia" w:ascii="宋体" w:hAnsi="宋体" w:cs="宋体"/>
                <w:color w:val="auto"/>
                <w:sz w:val="28"/>
                <w:szCs w:val="28"/>
                <w:lang w:val="en-US" w:eastAsia="zh-CN"/>
              </w:rPr>
              <w:t>9.36</w:t>
            </w:r>
          </w:p>
        </w:tc>
        <w:tc>
          <w:tcPr>
            <w:tcW w:w="2275" w:type="dxa"/>
            <w:tcBorders>
              <w:top w:val="outset" w:color="000000" w:sz="6" w:space="0"/>
              <w:left w:val="outset" w:color="000000" w:sz="6" w:space="0"/>
              <w:bottom w:val="outset" w:color="000000" w:sz="6" w:space="0"/>
              <w:right w:val="outset" w:color="000000" w:sz="6" w:space="0"/>
            </w:tcBorders>
            <w:shd w:val="clear" w:color="auto" w:fill="FFFFFF"/>
            <w:noWrap w:val="0"/>
            <w:tcMar>
              <w:top w:w="0" w:type="dxa"/>
              <w:left w:w="0" w:type="dxa"/>
              <w:bottom w:w="0" w:type="dxa"/>
              <w:right w:w="0" w:type="dxa"/>
            </w:tcMar>
            <w:vAlign w:val="center"/>
          </w:tcPr>
          <w:p>
            <w:pPr>
              <w:keepNext w:val="0"/>
              <w:keepLines w:val="0"/>
              <w:pageBreakBefore w:val="0"/>
              <w:suppressLineNumbers w:val="0"/>
              <w:kinsoku/>
              <w:wordWrap/>
              <w:overflowPunct/>
              <w:topLinePunct w:val="0"/>
              <w:autoSpaceDN/>
              <w:bidi w:val="0"/>
              <w:adjustRightInd/>
              <w:snapToGrid/>
              <w:spacing w:before="75" w:beforeAutospacing="0" w:after="75" w:afterAutospacing="0" w:line="360" w:lineRule="auto"/>
              <w:ind w:left="0" w:right="0"/>
              <w:jc w:val="center"/>
              <w:textAlignment w:val="auto"/>
              <w:rPr>
                <w:rFonts w:hint="eastAsia" w:ascii="宋体" w:hAnsi="宋体" w:eastAsia="宋体" w:cs="宋体"/>
                <w:color w:val="auto"/>
                <w:sz w:val="28"/>
                <w:szCs w:val="28"/>
              </w:rPr>
            </w:pPr>
            <w:r>
              <w:rPr>
                <w:rFonts w:hint="eastAsia" w:ascii="宋体" w:hAnsi="宋体" w:cs="宋体"/>
                <w:color w:val="auto"/>
                <w:sz w:val="28"/>
                <w:szCs w:val="28"/>
                <w:lang w:val="en-US" w:eastAsia="zh-CN"/>
              </w:rPr>
              <w:t>93.60</w:t>
            </w:r>
            <w:r>
              <w:rPr>
                <w:rFonts w:hint="eastAsia" w:ascii="宋体" w:hAnsi="宋体" w:eastAsia="宋体" w:cs="宋体"/>
                <w:color w:val="auto"/>
                <w:sz w:val="28"/>
                <w:szCs w:val="28"/>
              </w:rPr>
              <w:t>%</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shd w:val="clear" w:color="auto" w:fill="FFFFFF"/>
          <w:tblCellMar>
            <w:top w:w="30" w:type="dxa"/>
            <w:left w:w="30" w:type="dxa"/>
            <w:bottom w:w="30" w:type="dxa"/>
            <w:right w:w="30" w:type="dxa"/>
          </w:tblCellMar>
        </w:tblPrEx>
        <w:trPr>
          <w:trHeight w:val="564" w:hRule="atLeast"/>
        </w:trPr>
        <w:tc>
          <w:tcPr>
            <w:tcW w:w="2063" w:type="dxa"/>
            <w:tcBorders>
              <w:top w:val="outset" w:color="000000" w:sz="6" w:space="0"/>
              <w:left w:val="outset" w:color="000000" w:sz="6" w:space="0"/>
              <w:bottom w:val="outset" w:color="000000" w:sz="6" w:space="0"/>
              <w:right w:val="outset" w:color="000000" w:sz="6" w:space="0"/>
            </w:tcBorders>
            <w:shd w:val="clear" w:color="auto" w:fill="FFFFFF"/>
            <w:noWrap w:val="0"/>
            <w:tcMar>
              <w:top w:w="0" w:type="dxa"/>
              <w:left w:w="0" w:type="dxa"/>
              <w:bottom w:w="0" w:type="dxa"/>
              <w:right w:w="0" w:type="dxa"/>
            </w:tcMar>
            <w:vAlign w:val="center"/>
          </w:tcPr>
          <w:p>
            <w:pPr>
              <w:keepNext w:val="0"/>
              <w:keepLines w:val="0"/>
              <w:pageBreakBefore w:val="0"/>
              <w:suppressLineNumbers w:val="0"/>
              <w:kinsoku/>
              <w:wordWrap/>
              <w:overflowPunct/>
              <w:topLinePunct w:val="0"/>
              <w:autoSpaceDN/>
              <w:bidi w:val="0"/>
              <w:adjustRightInd/>
              <w:snapToGrid/>
              <w:spacing w:before="75" w:beforeAutospacing="0" w:after="75" w:afterAutospacing="0" w:line="360" w:lineRule="auto"/>
              <w:ind w:left="0" w:right="0"/>
              <w:jc w:val="left"/>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产出指标</w:t>
            </w:r>
          </w:p>
        </w:tc>
        <w:tc>
          <w:tcPr>
            <w:tcW w:w="2064" w:type="dxa"/>
            <w:tcBorders>
              <w:top w:val="outset" w:color="000000" w:sz="6" w:space="0"/>
              <w:left w:val="outset" w:color="000000" w:sz="6" w:space="0"/>
              <w:bottom w:val="outset" w:color="000000" w:sz="6" w:space="0"/>
              <w:right w:val="outset" w:color="000000" w:sz="6" w:space="0"/>
            </w:tcBorders>
            <w:shd w:val="clear" w:color="auto" w:fill="FFFFFF"/>
            <w:noWrap w:val="0"/>
            <w:tcMar>
              <w:top w:w="0" w:type="dxa"/>
              <w:left w:w="0" w:type="dxa"/>
              <w:bottom w:w="0" w:type="dxa"/>
              <w:right w:w="0" w:type="dxa"/>
            </w:tcMar>
            <w:vAlign w:val="center"/>
          </w:tcPr>
          <w:p>
            <w:pPr>
              <w:keepNext w:val="0"/>
              <w:keepLines w:val="0"/>
              <w:pageBreakBefore w:val="0"/>
              <w:suppressLineNumbers w:val="0"/>
              <w:kinsoku/>
              <w:wordWrap/>
              <w:overflowPunct/>
              <w:topLinePunct w:val="0"/>
              <w:autoSpaceDN/>
              <w:bidi w:val="0"/>
              <w:adjustRightInd/>
              <w:snapToGrid/>
              <w:spacing w:before="75" w:beforeAutospacing="0" w:after="75" w:afterAutospacing="0" w:line="360" w:lineRule="auto"/>
              <w:ind w:left="0" w:right="0"/>
              <w:jc w:val="center"/>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50</w:t>
            </w:r>
          </w:p>
        </w:tc>
        <w:tc>
          <w:tcPr>
            <w:tcW w:w="2064" w:type="dxa"/>
            <w:tcBorders>
              <w:top w:val="outset" w:color="000000" w:sz="6" w:space="0"/>
              <w:left w:val="outset" w:color="000000" w:sz="6" w:space="0"/>
              <w:bottom w:val="outset" w:color="000000" w:sz="6" w:space="0"/>
              <w:right w:val="outset" w:color="000000" w:sz="6" w:space="0"/>
            </w:tcBorders>
            <w:shd w:val="clear" w:color="auto" w:fill="FFFFFF"/>
            <w:noWrap w:val="0"/>
            <w:tcMar>
              <w:top w:w="0" w:type="dxa"/>
              <w:left w:w="0" w:type="dxa"/>
              <w:bottom w:w="0" w:type="dxa"/>
              <w:right w:w="0" w:type="dxa"/>
            </w:tcMar>
            <w:vAlign w:val="center"/>
          </w:tcPr>
          <w:p>
            <w:pPr>
              <w:keepNext w:val="0"/>
              <w:keepLines w:val="0"/>
              <w:pageBreakBefore w:val="0"/>
              <w:suppressLineNumbers w:val="0"/>
              <w:kinsoku/>
              <w:wordWrap/>
              <w:overflowPunct/>
              <w:topLinePunct w:val="0"/>
              <w:autoSpaceDN/>
              <w:bidi w:val="0"/>
              <w:adjustRightInd/>
              <w:snapToGrid/>
              <w:spacing w:before="75" w:beforeAutospacing="0" w:after="75" w:afterAutospacing="0" w:line="360" w:lineRule="auto"/>
              <w:ind w:left="0" w:right="0"/>
              <w:jc w:val="center"/>
              <w:textAlignment w:val="auto"/>
              <w:rPr>
                <w:rFonts w:hint="default" w:ascii="宋体" w:hAnsi="宋体" w:eastAsia="宋体" w:cs="宋体"/>
                <w:color w:val="auto"/>
                <w:sz w:val="28"/>
                <w:szCs w:val="28"/>
                <w:lang w:val="en-US" w:eastAsia="zh-CN"/>
              </w:rPr>
            </w:pPr>
            <w:r>
              <w:rPr>
                <w:rFonts w:hint="eastAsia" w:ascii="宋体" w:hAnsi="宋体" w:cs="宋体"/>
                <w:color w:val="auto"/>
                <w:sz w:val="28"/>
                <w:szCs w:val="28"/>
                <w:lang w:val="en-US" w:eastAsia="zh-CN"/>
              </w:rPr>
              <w:t>50</w:t>
            </w:r>
          </w:p>
        </w:tc>
        <w:tc>
          <w:tcPr>
            <w:tcW w:w="2275" w:type="dxa"/>
            <w:tcBorders>
              <w:top w:val="outset" w:color="000000" w:sz="6" w:space="0"/>
              <w:left w:val="outset" w:color="000000" w:sz="6" w:space="0"/>
              <w:bottom w:val="outset" w:color="000000" w:sz="6" w:space="0"/>
              <w:right w:val="outset" w:color="000000" w:sz="6" w:space="0"/>
            </w:tcBorders>
            <w:shd w:val="clear" w:color="auto" w:fill="FFFFFF"/>
            <w:noWrap w:val="0"/>
            <w:tcMar>
              <w:top w:w="0" w:type="dxa"/>
              <w:left w:w="0" w:type="dxa"/>
              <w:bottom w:w="0" w:type="dxa"/>
              <w:right w:w="0" w:type="dxa"/>
            </w:tcMar>
            <w:vAlign w:val="center"/>
          </w:tcPr>
          <w:p>
            <w:pPr>
              <w:keepNext w:val="0"/>
              <w:keepLines w:val="0"/>
              <w:pageBreakBefore w:val="0"/>
              <w:suppressLineNumbers w:val="0"/>
              <w:kinsoku/>
              <w:wordWrap/>
              <w:overflowPunct/>
              <w:topLinePunct w:val="0"/>
              <w:autoSpaceDN/>
              <w:bidi w:val="0"/>
              <w:adjustRightInd/>
              <w:snapToGrid/>
              <w:spacing w:before="75" w:beforeAutospacing="0" w:after="75" w:afterAutospacing="0" w:line="360" w:lineRule="auto"/>
              <w:ind w:left="0" w:right="0"/>
              <w:jc w:val="center"/>
              <w:textAlignment w:val="auto"/>
              <w:rPr>
                <w:rFonts w:hint="eastAsia" w:ascii="宋体" w:hAnsi="宋体" w:eastAsia="宋体" w:cs="宋体"/>
                <w:color w:val="auto"/>
                <w:sz w:val="28"/>
                <w:szCs w:val="28"/>
              </w:rPr>
            </w:pPr>
            <w:r>
              <w:rPr>
                <w:rFonts w:hint="eastAsia" w:ascii="宋体" w:hAnsi="宋体" w:cs="宋体"/>
                <w:color w:val="auto"/>
                <w:sz w:val="28"/>
                <w:szCs w:val="28"/>
                <w:lang w:val="en-US" w:eastAsia="zh-CN"/>
              </w:rPr>
              <w:t>100</w:t>
            </w:r>
            <w:r>
              <w:rPr>
                <w:rFonts w:hint="eastAsia" w:ascii="宋体" w:hAnsi="宋体" w:eastAsia="宋体" w:cs="宋体"/>
                <w:color w:val="auto"/>
                <w:sz w:val="28"/>
                <w:szCs w:val="28"/>
              </w:rPr>
              <w:t>%</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shd w:val="clear" w:color="auto" w:fill="FFFFFF"/>
          <w:tblCellMar>
            <w:top w:w="30" w:type="dxa"/>
            <w:left w:w="30" w:type="dxa"/>
            <w:bottom w:w="30" w:type="dxa"/>
            <w:right w:w="30" w:type="dxa"/>
          </w:tblCellMar>
        </w:tblPrEx>
        <w:trPr>
          <w:trHeight w:val="583" w:hRule="atLeast"/>
        </w:trPr>
        <w:tc>
          <w:tcPr>
            <w:tcW w:w="2063" w:type="dxa"/>
            <w:tcBorders>
              <w:top w:val="outset" w:color="000000" w:sz="6" w:space="0"/>
              <w:left w:val="outset" w:color="000000" w:sz="6" w:space="0"/>
              <w:bottom w:val="outset" w:color="000000" w:sz="6" w:space="0"/>
              <w:right w:val="outset" w:color="000000" w:sz="6" w:space="0"/>
            </w:tcBorders>
            <w:shd w:val="clear" w:color="auto" w:fill="FFFFFF"/>
            <w:noWrap w:val="0"/>
            <w:tcMar>
              <w:top w:w="0" w:type="dxa"/>
              <w:left w:w="0" w:type="dxa"/>
              <w:bottom w:w="0" w:type="dxa"/>
              <w:right w:w="0" w:type="dxa"/>
            </w:tcMar>
            <w:vAlign w:val="center"/>
          </w:tcPr>
          <w:p>
            <w:pPr>
              <w:keepNext w:val="0"/>
              <w:keepLines w:val="0"/>
              <w:pageBreakBefore w:val="0"/>
              <w:suppressLineNumbers w:val="0"/>
              <w:kinsoku/>
              <w:wordWrap/>
              <w:overflowPunct/>
              <w:topLinePunct w:val="0"/>
              <w:autoSpaceDN/>
              <w:bidi w:val="0"/>
              <w:adjustRightInd/>
              <w:snapToGrid/>
              <w:spacing w:before="75" w:beforeAutospacing="0" w:after="75" w:afterAutospacing="0" w:line="360" w:lineRule="auto"/>
              <w:ind w:left="0" w:right="0"/>
              <w:jc w:val="left"/>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效益指标</w:t>
            </w:r>
          </w:p>
        </w:tc>
        <w:tc>
          <w:tcPr>
            <w:tcW w:w="2064" w:type="dxa"/>
            <w:tcBorders>
              <w:top w:val="outset" w:color="000000" w:sz="6" w:space="0"/>
              <w:left w:val="outset" w:color="000000" w:sz="6" w:space="0"/>
              <w:bottom w:val="outset" w:color="000000" w:sz="6" w:space="0"/>
              <w:right w:val="outset" w:color="000000" w:sz="6" w:space="0"/>
            </w:tcBorders>
            <w:shd w:val="clear" w:color="auto" w:fill="FFFFFF"/>
            <w:noWrap w:val="0"/>
            <w:tcMar>
              <w:top w:w="0" w:type="dxa"/>
              <w:left w:w="0" w:type="dxa"/>
              <w:bottom w:w="0" w:type="dxa"/>
              <w:right w:w="0" w:type="dxa"/>
            </w:tcMar>
            <w:vAlign w:val="center"/>
          </w:tcPr>
          <w:p>
            <w:pPr>
              <w:keepNext w:val="0"/>
              <w:keepLines w:val="0"/>
              <w:pageBreakBefore w:val="0"/>
              <w:suppressLineNumbers w:val="0"/>
              <w:kinsoku/>
              <w:wordWrap/>
              <w:overflowPunct/>
              <w:topLinePunct w:val="0"/>
              <w:autoSpaceDN/>
              <w:bidi w:val="0"/>
              <w:adjustRightInd/>
              <w:snapToGrid/>
              <w:spacing w:before="75" w:beforeAutospacing="0" w:after="75" w:afterAutospacing="0" w:line="360" w:lineRule="auto"/>
              <w:ind w:left="0" w:right="0"/>
              <w:jc w:val="center"/>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30</w:t>
            </w:r>
          </w:p>
        </w:tc>
        <w:tc>
          <w:tcPr>
            <w:tcW w:w="2064" w:type="dxa"/>
            <w:tcBorders>
              <w:top w:val="outset" w:color="000000" w:sz="6" w:space="0"/>
              <w:left w:val="outset" w:color="000000" w:sz="6" w:space="0"/>
              <w:bottom w:val="outset" w:color="000000" w:sz="6" w:space="0"/>
              <w:right w:val="outset" w:color="000000" w:sz="6" w:space="0"/>
            </w:tcBorders>
            <w:shd w:val="clear" w:color="auto" w:fill="FFFFFF"/>
            <w:noWrap w:val="0"/>
            <w:tcMar>
              <w:top w:w="0" w:type="dxa"/>
              <w:left w:w="0" w:type="dxa"/>
              <w:bottom w:w="0" w:type="dxa"/>
              <w:right w:w="0" w:type="dxa"/>
            </w:tcMar>
            <w:vAlign w:val="center"/>
          </w:tcPr>
          <w:p>
            <w:pPr>
              <w:keepNext w:val="0"/>
              <w:keepLines w:val="0"/>
              <w:pageBreakBefore w:val="0"/>
              <w:suppressLineNumbers w:val="0"/>
              <w:kinsoku/>
              <w:wordWrap/>
              <w:overflowPunct/>
              <w:topLinePunct w:val="0"/>
              <w:autoSpaceDN/>
              <w:bidi w:val="0"/>
              <w:adjustRightInd/>
              <w:snapToGrid/>
              <w:spacing w:before="75" w:beforeAutospacing="0" w:after="75" w:afterAutospacing="0" w:line="360" w:lineRule="auto"/>
              <w:ind w:left="0" w:right="0"/>
              <w:jc w:val="center"/>
              <w:textAlignment w:val="auto"/>
              <w:rPr>
                <w:rFonts w:hint="default" w:ascii="宋体" w:hAnsi="宋体" w:eastAsia="宋体" w:cs="宋体"/>
                <w:color w:val="auto"/>
                <w:sz w:val="28"/>
                <w:szCs w:val="28"/>
                <w:lang w:val="en-US" w:eastAsia="zh-CN"/>
              </w:rPr>
            </w:pPr>
            <w:r>
              <w:rPr>
                <w:rFonts w:hint="eastAsia" w:ascii="宋体" w:hAnsi="宋体" w:cs="宋体"/>
                <w:color w:val="auto"/>
                <w:sz w:val="28"/>
                <w:szCs w:val="28"/>
                <w:lang w:val="en-US" w:eastAsia="zh-CN"/>
              </w:rPr>
              <w:t>29</w:t>
            </w:r>
          </w:p>
        </w:tc>
        <w:tc>
          <w:tcPr>
            <w:tcW w:w="2275" w:type="dxa"/>
            <w:tcBorders>
              <w:top w:val="outset" w:color="000000" w:sz="6" w:space="0"/>
              <w:left w:val="outset" w:color="000000" w:sz="6" w:space="0"/>
              <w:bottom w:val="outset" w:color="000000" w:sz="6" w:space="0"/>
              <w:right w:val="outset" w:color="000000" w:sz="6" w:space="0"/>
            </w:tcBorders>
            <w:shd w:val="clear" w:color="auto" w:fill="FFFFFF"/>
            <w:noWrap w:val="0"/>
            <w:tcMar>
              <w:top w:w="0" w:type="dxa"/>
              <w:left w:w="0" w:type="dxa"/>
              <w:bottom w:w="0" w:type="dxa"/>
              <w:right w:w="0" w:type="dxa"/>
            </w:tcMar>
            <w:vAlign w:val="center"/>
          </w:tcPr>
          <w:p>
            <w:pPr>
              <w:keepNext w:val="0"/>
              <w:keepLines w:val="0"/>
              <w:pageBreakBefore w:val="0"/>
              <w:suppressLineNumbers w:val="0"/>
              <w:kinsoku/>
              <w:wordWrap/>
              <w:overflowPunct/>
              <w:topLinePunct w:val="0"/>
              <w:autoSpaceDN/>
              <w:bidi w:val="0"/>
              <w:adjustRightInd/>
              <w:snapToGrid/>
              <w:spacing w:before="75" w:beforeAutospacing="0" w:after="75" w:afterAutospacing="0" w:line="360" w:lineRule="auto"/>
              <w:ind w:left="0" w:right="0"/>
              <w:jc w:val="center"/>
              <w:textAlignment w:val="auto"/>
              <w:rPr>
                <w:rFonts w:hint="eastAsia" w:ascii="宋体" w:hAnsi="宋体" w:eastAsia="宋体" w:cs="宋体"/>
                <w:color w:val="auto"/>
                <w:sz w:val="28"/>
                <w:szCs w:val="28"/>
              </w:rPr>
            </w:pPr>
            <w:r>
              <w:rPr>
                <w:rFonts w:hint="eastAsia" w:ascii="宋体" w:hAnsi="宋体" w:cs="宋体"/>
                <w:color w:val="auto"/>
                <w:sz w:val="28"/>
                <w:szCs w:val="28"/>
                <w:lang w:val="en-US" w:eastAsia="zh-CN"/>
              </w:rPr>
              <w:t>96.67</w:t>
            </w:r>
            <w:r>
              <w:rPr>
                <w:rFonts w:hint="eastAsia" w:ascii="宋体" w:hAnsi="宋体" w:eastAsia="宋体" w:cs="宋体"/>
                <w:color w:val="auto"/>
                <w:sz w:val="28"/>
                <w:szCs w:val="28"/>
              </w:rPr>
              <w:t>%</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30" w:type="dxa"/>
            <w:left w:w="30" w:type="dxa"/>
            <w:bottom w:w="30" w:type="dxa"/>
            <w:right w:w="30" w:type="dxa"/>
          </w:tblCellMar>
        </w:tblPrEx>
        <w:trPr>
          <w:trHeight w:val="583" w:hRule="atLeast"/>
        </w:trPr>
        <w:tc>
          <w:tcPr>
            <w:tcW w:w="2063" w:type="dxa"/>
            <w:tcBorders>
              <w:top w:val="outset" w:color="000000" w:sz="6" w:space="0"/>
              <w:left w:val="outset" w:color="000000" w:sz="6" w:space="0"/>
              <w:bottom w:val="outset" w:color="000000" w:sz="6" w:space="0"/>
              <w:right w:val="outset" w:color="000000" w:sz="6" w:space="0"/>
            </w:tcBorders>
            <w:shd w:val="clear" w:color="auto" w:fill="FFFFFF"/>
            <w:noWrap w:val="0"/>
            <w:tcMar>
              <w:top w:w="0" w:type="dxa"/>
              <w:left w:w="0" w:type="dxa"/>
              <w:bottom w:w="0" w:type="dxa"/>
              <w:right w:w="0" w:type="dxa"/>
            </w:tcMar>
            <w:vAlign w:val="center"/>
          </w:tcPr>
          <w:p>
            <w:pPr>
              <w:keepNext w:val="0"/>
              <w:keepLines w:val="0"/>
              <w:pageBreakBefore w:val="0"/>
              <w:suppressLineNumbers w:val="0"/>
              <w:kinsoku/>
              <w:wordWrap/>
              <w:overflowPunct/>
              <w:topLinePunct w:val="0"/>
              <w:autoSpaceDN/>
              <w:bidi w:val="0"/>
              <w:adjustRightInd/>
              <w:snapToGrid/>
              <w:spacing w:before="75" w:beforeAutospacing="0" w:after="75" w:afterAutospacing="0" w:line="360" w:lineRule="auto"/>
              <w:ind w:left="0" w:right="0"/>
              <w:jc w:val="left"/>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满意度效益指标</w:t>
            </w:r>
          </w:p>
        </w:tc>
        <w:tc>
          <w:tcPr>
            <w:tcW w:w="2064" w:type="dxa"/>
            <w:tcBorders>
              <w:top w:val="outset" w:color="000000" w:sz="6" w:space="0"/>
              <w:left w:val="outset" w:color="000000" w:sz="6" w:space="0"/>
              <w:bottom w:val="outset" w:color="000000" w:sz="6" w:space="0"/>
              <w:right w:val="outset" w:color="000000" w:sz="6" w:space="0"/>
            </w:tcBorders>
            <w:shd w:val="clear" w:color="auto" w:fill="FFFFFF"/>
            <w:noWrap w:val="0"/>
            <w:tcMar>
              <w:top w:w="0" w:type="dxa"/>
              <w:left w:w="0" w:type="dxa"/>
              <w:bottom w:w="0" w:type="dxa"/>
              <w:right w:w="0" w:type="dxa"/>
            </w:tcMar>
            <w:vAlign w:val="center"/>
          </w:tcPr>
          <w:p>
            <w:pPr>
              <w:keepNext w:val="0"/>
              <w:keepLines w:val="0"/>
              <w:pageBreakBefore w:val="0"/>
              <w:suppressLineNumbers w:val="0"/>
              <w:kinsoku/>
              <w:wordWrap/>
              <w:overflowPunct/>
              <w:topLinePunct w:val="0"/>
              <w:autoSpaceDN/>
              <w:bidi w:val="0"/>
              <w:adjustRightInd/>
              <w:snapToGrid/>
              <w:spacing w:before="75" w:beforeAutospacing="0" w:after="75" w:afterAutospacing="0" w:line="360" w:lineRule="auto"/>
              <w:ind w:left="0" w:right="0"/>
              <w:jc w:val="center"/>
              <w:textAlignment w:val="auto"/>
              <w:rPr>
                <w:rFonts w:hint="default" w:ascii="宋体" w:hAnsi="宋体" w:eastAsia="宋体" w:cs="宋体"/>
                <w:color w:val="auto"/>
                <w:sz w:val="28"/>
                <w:szCs w:val="28"/>
                <w:lang w:val="en-US" w:eastAsia="zh-CN"/>
              </w:rPr>
            </w:pPr>
            <w:r>
              <w:rPr>
                <w:rFonts w:hint="eastAsia" w:ascii="宋体" w:hAnsi="宋体" w:cs="宋体"/>
                <w:color w:val="auto"/>
                <w:sz w:val="28"/>
                <w:szCs w:val="28"/>
                <w:lang w:val="en-US" w:eastAsia="zh-CN"/>
              </w:rPr>
              <w:t>10</w:t>
            </w:r>
          </w:p>
        </w:tc>
        <w:tc>
          <w:tcPr>
            <w:tcW w:w="2064" w:type="dxa"/>
            <w:tcBorders>
              <w:top w:val="outset" w:color="000000" w:sz="6" w:space="0"/>
              <w:left w:val="outset" w:color="000000" w:sz="6" w:space="0"/>
              <w:bottom w:val="outset" w:color="000000" w:sz="6" w:space="0"/>
              <w:right w:val="outset" w:color="000000" w:sz="6" w:space="0"/>
            </w:tcBorders>
            <w:shd w:val="clear" w:color="auto" w:fill="FFFFFF"/>
            <w:noWrap w:val="0"/>
            <w:tcMar>
              <w:top w:w="0" w:type="dxa"/>
              <w:left w:w="0" w:type="dxa"/>
              <w:bottom w:w="0" w:type="dxa"/>
              <w:right w:w="0" w:type="dxa"/>
            </w:tcMar>
            <w:vAlign w:val="center"/>
          </w:tcPr>
          <w:p>
            <w:pPr>
              <w:keepNext w:val="0"/>
              <w:keepLines w:val="0"/>
              <w:pageBreakBefore w:val="0"/>
              <w:suppressLineNumbers w:val="0"/>
              <w:kinsoku/>
              <w:wordWrap/>
              <w:overflowPunct/>
              <w:topLinePunct w:val="0"/>
              <w:autoSpaceDN/>
              <w:bidi w:val="0"/>
              <w:adjustRightInd/>
              <w:snapToGrid/>
              <w:spacing w:before="75" w:beforeAutospacing="0" w:after="75" w:afterAutospacing="0" w:line="360" w:lineRule="auto"/>
              <w:ind w:left="0" w:right="0"/>
              <w:jc w:val="center"/>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10</w:t>
            </w:r>
          </w:p>
        </w:tc>
        <w:tc>
          <w:tcPr>
            <w:tcW w:w="2275" w:type="dxa"/>
            <w:tcBorders>
              <w:top w:val="outset" w:color="000000" w:sz="6" w:space="0"/>
              <w:left w:val="outset" w:color="000000" w:sz="6" w:space="0"/>
              <w:bottom w:val="outset" w:color="000000" w:sz="6" w:space="0"/>
              <w:right w:val="outset" w:color="000000" w:sz="6" w:space="0"/>
            </w:tcBorders>
            <w:shd w:val="clear" w:color="auto" w:fill="FFFFFF"/>
            <w:noWrap w:val="0"/>
            <w:tcMar>
              <w:top w:w="0" w:type="dxa"/>
              <w:left w:w="0" w:type="dxa"/>
              <w:bottom w:w="0" w:type="dxa"/>
              <w:right w:w="0" w:type="dxa"/>
            </w:tcMar>
            <w:vAlign w:val="center"/>
          </w:tcPr>
          <w:p>
            <w:pPr>
              <w:keepNext w:val="0"/>
              <w:keepLines w:val="0"/>
              <w:pageBreakBefore w:val="0"/>
              <w:suppressLineNumbers w:val="0"/>
              <w:kinsoku/>
              <w:wordWrap/>
              <w:overflowPunct/>
              <w:topLinePunct w:val="0"/>
              <w:autoSpaceDN/>
              <w:bidi w:val="0"/>
              <w:adjustRightInd/>
              <w:snapToGrid/>
              <w:spacing w:before="75" w:beforeAutospacing="0" w:after="75" w:afterAutospacing="0" w:line="360" w:lineRule="auto"/>
              <w:ind w:left="0" w:right="0"/>
              <w:jc w:val="center"/>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100%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30" w:type="dxa"/>
            <w:left w:w="30" w:type="dxa"/>
            <w:bottom w:w="30" w:type="dxa"/>
            <w:right w:w="30" w:type="dxa"/>
          </w:tblCellMar>
        </w:tblPrEx>
        <w:trPr>
          <w:trHeight w:val="583" w:hRule="atLeast"/>
        </w:trPr>
        <w:tc>
          <w:tcPr>
            <w:tcW w:w="2063" w:type="dxa"/>
            <w:tcBorders>
              <w:top w:val="outset" w:color="000000" w:sz="6" w:space="0"/>
              <w:left w:val="outset" w:color="000000" w:sz="6" w:space="0"/>
              <w:bottom w:val="outset" w:color="000000" w:sz="6" w:space="0"/>
              <w:right w:val="outset" w:color="000000" w:sz="6" w:space="0"/>
            </w:tcBorders>
            <w:shd w:val="clear" w:color="auto" w:fill="FFFFFF"/>
            <w:noWrap w:val="0"/>
            <w:tcMar>
              <w:top w:w="0" w:type="dxa"/>
              <w:left w:w="0" w:type="dxa"/>
              <w:bottom w:w="0" w:type="dxa"/>
              <w:right w:w="0" w:type="dxa"/>
            </w:tcMar>
            <w:vAlign w:val="center"/>
          </w:tcPr>
          <w:p>
            <w:pPr>
              <w:keepNext w:val="0"/>
              <w:keepLines w:val="0"/>
              <w:pageBreakBefore w:val="0"/>
              <w:suppressLineNumbers w:val="0"/>
              <w:kinsoku/>
              <w:wordWrap/>
              <w:overflowPunct/>
              <w:topLinePunct w:val="0"/>
              <w:autoSpaceDN/>
              <w:bidi w:val="0"/>
              <w:adjustRightInd/>
              <w:snapToGrid/>
              <w:spacing w:before="75" w:beforeAutospacing="0" w:after="75" w:afterAutospacing="0" w:line="360" w:lineRule="auto"/>
              <w:ind w:left="0" w:right="0"/>
              <w:jc w:val="left"/>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合</w:t>
            </w:r>
            <w:r>
              <w:rPr>
                <w:rFonts w:hint="eastAsia" w:ascii="宋体" w:hAnsi="宋体" w:cs="宋体"/>
                <w:color w:val="auto"/>
                <w:sz w:val="28"/>
                <w:szCs w:val="28"/>
                <w:lang w:val="en-US" w:eastAsia="zh-CN"/>
              </w:rPr>
              <w:t xml:space="preserve">  </w:t>
            </w:r>
            <w:r>
              <w:rPr>
                <w:rFonts w:hint="eastAsia" w:ascii="宋体" w:hAnsi="宋体" w:eastAsia="宋体" w:cs="宋体"/>
                <w:color w:val="auto"/>
                <w:sz w:val="28"/>
                <w:szCs w:val="28"/>
              </w:rPr>
              <w:t>计</w:t>
            </w:r>
          </w:p>
        </w:tc>
        <w:tc>
          <w:tcPr>
            <w:tcW w:w="2064" w:type="dxa"/>
            <w:tcBorders>
              <w:top w:val="outset" w:color="000000" w:sz="6" w:space="0"/>
              <w:left w:val="outset" w:color="000000" w:sz="6" w:space="0"/>
              <w:bottom w:val="outset" w:color="000000" w:sz="6" w:space="0"/>
              <w:right w:val="outset" w:color="000000" w:sz="6" w:space="0"/>
            </w:tcBorders>
            <w:shd w:val="clear" w:color="auto" w:fill="FFFFFF"/>
            <w:noWrap w:val="0"/>
            <w:tcMar>
              <w:top w:w="0" w:type="dxa"/>
              <w:left w:w="0" w:type="dxa"/>
              <w:bottom w:w="0" w:type="dxa"/>
              <w:right w:w="0" w:type="dxa"/>
            </w:tcMar>
            <w:vAlign w:val="center"/>
          </w:tcPr>
          <w:p>
            <w:pPr>
              <w:keepNext w:val="0"/>
              <w:keepLines w:val="0"/>
              <w:pageBreakBefore w:val="0"/>
              <w:suppressLineNumbers w:val="0"/>
              <w:kinsoku/>
              <w:wordWrap/>
              <w:overflowPunct/>
              <w:topLinePunct w:val="0"/>
              <w:autoSpaceDN/>
              <w:bidi w:val="0"/>
              <w:adjustRightInd/>
              <w:snapToGrid/>
              <w:spacing w:before="75" w:beforeAutospacing="0" w:after="75" w:afterAutospacing="0" w:line="360" w:lineRule="auto"/>
              <w:ind w:left="0" w:right="0"/>
              <w:jc w:val="center"/>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100</w:t>
            </w:r>
          </w:p>
        </w:tc>
        <w:tc>
          <w:tcPr>
            <w:tcW w:w="2064" w:type="dxa"/>
            <w:tcBorders>
              <w:top w:val="outset" w:color="000000" w:sz="6" w:space="0"/>
              <w:left w:val="outset" w:color="000000" w:sz="6" w:space="0"/>
              <w:bottom w:val="outset" w:color="000000" w:sz="6" w:space="0"/>
              <w:right w:val="outset" w:color="000000" w:sz="6" w:space="0"/>
            </w:tcBorders>
            <w:shd w:val="clear" w:color="auto" w:fill="FFFFFF"/>
            <w:noWrap w:val="0"/>
            <w:tcMar>
              <w:top w:w="0" w:type="dxa"/>
              <w:left w:w="0" w:type="dxa"/>
              <w:bottom w:w="0" w:type="dxa"/>
              <w:right w:w="0" w:type="dxa"/>
            </w:tcMar>
            <w:vAlign w:val="center"/>
          </w:tcPr>
          <w:p>
            <w:pPr>
              <w:keepNext w:val="0"/>
              <w:keepLines w:val="0"/>
              <w:pageBreakBefore w:val="0"/>
              <w:suppressLineNumbers w:val="0"/>
              <w:kinsoku/>
              <w:wordWrap/>
              <w:overflowPunct/>
              <w:topLinePunct w:val="0"/>
              <w:autoSpaceDN/>
              <w:bidi w:val="0"/>
              <w:adjustRightInd/>
              <w:snapToGrid/>
              <w:spacing w:before="75" w:beforeAutospacing="0" w:after="75" w:afterAutospacing="0" w:line="360" w:lineRule="auto"/>
              <w:ind w:left="0" w:right="0"/>
              <w:jc w:val="center"/>
              <w:textAlignment w:val="auto"/>
              <w:rPr>
                <w:rFonts w:hint="default" w:ascii="宋体" w:hAnsi="宋体" w:eastAsia="宋体" w:cs="宋体"/>
                <w:color w:val="auto"/>
                <w:sz w:val="28"/>
                <w:szCs w:val="28"/>
                <w:lang w:val="en-US" w:eastAsia="zh-CN"/>
              </w:rPr>
            </w:pPr>
            <w:r>
              <w:rPr>
                <w:rFonts w:hint="eastAsia" w:ascii="宋体" w:hAnsi="宋体" w:cs="宋体"/>
                <w:color w:val="auto"/>
                <w:sz w:val="28"/>
                <w:szCs w:val="28"/>
                <w:lang w:val="en-US" w:eastAsia="zh-CN"/>
              </w:rPr>
              <w:t>98.36</w:t>
            </w:r>
          </w:p>
        </w:tc>
        <w:tc>
          <w:tcPr>
            <w:tcW w:w="2275" w:type="dxa"/>
            <w:tcBorders>
              <w:top w:val="outset" w:color="000000" w:sz="6" w:space="0"/>
              <w:left w:val="outset" w:color="000000" w:sz="6" w:space="0"/>
              <w:bottom w:val="outset" w:color="000000" w:sz="6" w:space="0"/>
              <w:right w:val="outset" w:color="000000" w:sz="6" w:space="0"/>
            </w:tcBorders>
            <w:shd w:val="clear" w:color="auto" w:fill="FFFFFF"/>
            <w:noWrap w:val="0"/>
            <w:tcMar>
              <w:top w:w="0" w:type="dxa"/>
              <w:left w:w="0" w:type="dxa"/>
              <w:bottom w:w="0" w:type="dxa"/>
              <w:right w:w="0" w:type="dxa"/>
            </w:tcMar>
            <w:vAlign w:val="center"/>
          </w:tcPr>
          <w:p>
            <w:pPr>
              <w:keepNext w:val="0"/>
              <w:keepLines w:val="0"/>
              <w:pageBreakBefore w:val="0"/>
              <w:suppressLineNumbers w:val="0"/>
              <w:kinsoku/>
              <w:wordWrap/>
              <w:overflowPunct/>
              <w:topLinePunct w:val="0"/>
              <w:autoSpaceDN/>
              <w:bidi w:val="0"/>
              <w:adjustRightInd/>
              <w:snapToGrid/>
              <w:spacing w:before="75" w:beforeAutospacing="0" w:after="75" w:afterAutospacing="0" w:line="360" w:lineRule="auto"/>
              <w:ind w:left="0" w:right="0"/>
              <w:jc w:val="center"/>
              <w:textAlignment w:val="auto"/>
              <w:rPr>
                <w:rFonts w:hint="eastAsia" w:ascii="宋体" w:hAnsi="宋体" w:eastAsia="宋体" w:cs="宋体"/>
                <w:color w:val="auto"/>
                <w:sz w:val="28"/>
                <w:szCs w:val="28"/>
              </w:rPr>
            </w:pPr>
            <w:r>
              <w:rPr>
                <w:rFonts w:hint="eastAsia" w:ascii="宋体" w:hAnsi="宋体" w:cs="宋体"/>
                <w:color w:val="auto"/>
                <w:sz w:val="28"/>
                <w:szCs w:val="28"/>
                <w:lang w:val="en-US" w:eastAsia="zh-CN"/>
              </w:rPr>
              <w:t>98.36</w:t>
            </w:r>
            <w:r>
              <w:rPr>
                <w:rFonts w:hint="eastAsia" w:ascii="宋体" w:hAnsi="宋体" w:eastAsia="宋体" w:cs="宋体"/>
                <w:color w:val="auto"/>
                <w:sz w:val="28"/>
                <w:szCs w:val="28"/>
              </w:rPr>
              <w:t>%</w:t>
            </w:r>
          </w:p>
        </w:tc>
      </w:tr>
    </w:tbl>
    <w:p>
      <w:pPr>
        <w:spacing w:line="600" w:lineRule="exact"/>
        <w:ind w:firstLine="480" w:firstLineChars="200"/>
        <w:rPr>
          <w:rFonts w:hint="eastAsia" w:asciiTheme="minorEastAsia" w:hAnsiTheme="minorEastAsia" w:eastAsiaTheme="minorEastAsia" w:cstheme="minorEastAsia"/>
          <w:color w:val="FF0000"/>
          <w:sz w:val="24"/>
          <w:szCs w:val="24"/>
          <w:highlight w:val="none"/>
          <w:lang w:eastAsia="zh-CN"/>
        </w:rPr>
      </w:pPr>
    </w:p>
    <w:p>
      <w:pPr>
        <w:spacing w:before="183" w:beforeLines="50" w:after="183" w:afterLines="50" w:line="600" w:lineRule="exact"/>
        <w:rPr>
          <w:rFonts w:hint="eastAsia" w:asciiTheme="minorEastAsia" w:hAnsiTheme="minorEastAsia" w:eastAsiaTheme="minorEastAsia" w:cstheme="minorEastAsia"/>
          <w:b/>
          <w:bCs/>
          <w:color w:val="FF0000"/>
          <w:sz w:val="24"/>
          <w:szCs w:val="24"/>
          <w:highlight w:val="none"/>
        </w:rPr>
      </w:pPr>
      <w:r>
        <w:rPr>
          <w:rFonts w:hint="eastAsia" w:asciiTheme="minorEastAsia" w:hAnsiTheme="minorEastAsia" w:eastAsiaTheme="minorEastAsia" w:cstheme="minorEastAsia"/>
          <w:b/>
          <w:bCs/>
          <w:color w:val="FF0000"/>
          <w:sz w:val="24"/>
          <w:szCs w:val="24"/>
          <w:highlight w:val="none"/>
        </w:rPr>
        <w:t>八、主要经验做法、存在的问题及原因分析</w:t>
      </w:r>
    </w:p>
    <w:p>
      <w:pPr>
        <w:widowControl/>
        <w:numPr>
          <w:ilvl w:val="0"/>
          <w:numId w:val="0"/>
        </w:numPr>
        <w:spacing w:before="183" w:beforeLines="50" w:line="580" w:lineRule="exact"/>
        <w:outlineLvl w:val="0"/>
        <w:rPr>
          <w:rFonts w:hint="eastAsia" w:asciiTheme="minorEastAsia" w:hAnsiTheme="minorEastAsia" w:eastAsiaTheme="minorEastAsia" w:cstheme="minorEastAsia"/>
          <w:b/>
          <w:bCs/>
          <w:color w:val="FF0000"/>
          <w:kern w:val="0"/>
          <w:sz w:val="24"/>
          <w:szCs w:val="24"/>
          <w:highlight w:val="none"/>
          <w:lang w:bidi="ar"/>
        </w:rPr>
      </w:pPr>
      <w:r>
        <w:rPr>
          <w:rFonts w:hint="eastAsia" w:asciiTheme="minorEastAsia" w:hAnsiTheme="minorEastAsia" w:eastAsiaTheme="minorEastAsia" w:cstheme="minorEastAsia"/>
          <w:b/>
          <w:bCs/>
          <w:color w:val="FF0000"/>
          <w:kern w:val="0"/>
          <w:sz w:val="24"/>
          <w:szCs w:val="24"/>
          <w:highlight w:val="none"/>
          <w:lang w:val="en-US" w:eastAsia="zh-CN" w:bidi="ar"/>
        </w:rPr>
        <w:t>1.</w:t>
      </w:r>
      <w:r>
        <w:rPr>
          <w:rFonts w:hint="eastAsia" w:asciiTheme="minorEastAsia" w:hAnsiTheme="minorEastAsia" w:eastAsiaTheme="minorEastAsia" w:cstheme="minorEastAsia"/>
          <w:b/>
          <w:bCs/>
          <w:color w:val="FF0000"/>
          <w:kern w:val="0"/>
          <w:sz w:val="24"/>
          <w:szCs w:val="24"/>
          <w:highlight w:val="none"/>
          <w:lang w:bidi="ar"/>
        </w:rPr>
        <w:t>主要做法</w:t>
      </w:r>
    </w:p>
    <w:p>
      <w:pPr>
        <w:widowControl/>
        <w:numPr>
          <w:ilvl w:val="0"/>
          <w:numId w:val="0"/>
        </w:numPr>
        <w:spacing w:before="183" w:beforeLines="50" w:line="580" w:lineRule="exact"/>
        <w:ind w:firstLine="240" w:firstLineChars="100"/>
        <w:outlineLvl w:val="0"/>
        <w:rPr>
          <w:rFonts w:hint="eastAsia" w:asciiTheme="minorEastAsia" w:hAnsiTheme="minorEastAsia" w:eastAsiaTheme="minorEastAsia" w:cstheme="minorEastAsia"/>
          <w:color w:val="auto"/>
          <w:kern w:val="0"/>
          <w:sz w:val="24"/>
          <w:szCs w:val="24"/>
          <w:highlight w:val="none"/>
          <w:lang w:bidi="ar"/>
        </w:rPr>
      </w:pPr>
      <w:r>
        <w:rPr>
          <w:rFonts w:hint="eastAsia" w:asciiTheme="minorEastAsia" w:hAnsiTheme="minorEastAsia" w:eastAsiaTheme="minorEastAsia" w:cstheme="minorEastAsia"/>
          <w:b w:val="0"/>
          <w:bCs w:val="0"/>
          <w:color w:val="auto"/>
          <w:kern w:val="0"/>
          <w:sz w:val="24"/>
          <w:szCs w:val="24"/>
          <w:highlight w:val="none"/>
          <w:lang w:bidi="ar"/>
        </w:rPr>
        <w:t>（1）强化预算管理</w:t>
      </w:r>
      <w:r>
        <w:rPr>
          <w:rFonts w:hint="eastAsia" w:asciiTheme="minorEastAsia" w:hAnsiTheme="minorEastAsia" w:eastAsiaTheme="minorEastAsia" w:cstheme="minorEastAsia"/>
          <w:b w:val="0"/>
          <w:bCs w:val="0"/>
          <w:color w:val="auto"/>
          <w:kern w:val="0"/>
          <w:sz w:val="24"/>
          <w:szCs w:val="24"/>
          <w:highlight w:val="none"/>
          <w:lang w:eastAsia="zh-CN" w:bidi="ar"/>
        </w:rPr>
        <w:t>，</w:t>
      </w:r>
      <w:r>
        <w:rPr>
          <w:rFonts w:hint="eastAsia" w:asciiTheme="minorEastAsia" w:hAnsiTheme="minorEastAsia" w:eastAsiaTheme="minorEastAsia" w:cstheme="minorEastAsia"/>
          <w:b w:val="0"/>
          <w:bCs w:val="0"/>
          <w:color w:val="auto"/>
          <w:kern w:val="0"/>
          <w:sz w:val="24"/>
          <w:szCs w:val="24"/>
          <w:highlight w:val="none"/>
          <w:lang w:bidi="ar"/>
        </w:rPr>
        <w:t>细化预算编制工作</w:t>
      </w:r>
      <w:r>
        <w:rPr>
          <w:rFonts w:hint="eastAsia" w:asciiTheme="minorEastAsia" w:hAnsiTheme="minorEastAsia" w:eastAsiaTheme="minorEastAsia" w:cstheme="minorEastAsia"/>
          <w:b w:val="0"/>
          <w:bCs w:val="0"/>
          <w:color w:val="auto"/>
          <w:kern w:val="0"/>
          <w:sz w:val="24"/>
          <w:szCs w:val="24"/>
          <w:highlight w:val="none"/>
          <w:lang w:eastAsia="zh-CN" w:bidi="ar"/>
        </w:rPr>
        <w:t>。</w:t>
      </w:r>
      <w:r>
        <w:rPr>
          <w:rFonts w:hint="eastAsia" w:asciiTheme="minorEastAsia" w:hAnsiTheme="minorEastAsia" w:eastAsiaTheme="minorEastAsia" w:cstheme="minorEastAsia"/>
          <w:b w:val="0"/>
          <w:bCs w:val="0"/>
          <w:color w:val="auto"/>
          <w:kern w:val="0"/>
          <w:sz w:val="24"/>
          <w:szCs w:val="24"/>
          <w:highlight w:val="none"/>
          <w:lang w:bidi="ar"/>
        </w:rPr>
        <w:t>严</w:t>
      </w:r>
      <w:r>
        <w:rPr>
          <w:rFonts w:hint="eastAsia" w:asciiTheme="minorEastAsia" w:hAnsiTheme="minorEastAsia" w:eastAsiaTheme="minorEastAsia" w:cstheme="minorEastAsia"/>
          <w:color w:val="auto"/>
          <w:kern w:val="0"/>
          <w:sz w:val="24"/>
          <w:szCs w:val="24"/>
          <w:highlight w:val="none"/>
          <w:lang w:bidi="ar"/>
        </w:rPr>
        <w:t>格按照预算编制的相关制度和要求</w:t>
      </w:r>
      <w:r>
        <w:rPr>
          <w:rFonts w:hint="eastAsia" w:asciiTheme="minorEastAsia" w:hAnsiTheme="minorEastAsia" w:eastAsiaTheme="minorEastAsia" w:cstheme="minorEastAsia"/>
          <w:b w:val="0"/>
          <w:bCs w:val="0"/>
          <w:color w:val="auto"/>
          <w:kern w:val="0"/>
          <w:sz w:val="24"/>
          <w:szCs w:val="24"/>
          <w:highlight w:val="none"/>
          <w:lang w:bidi="ar"/>
        </w:rPr>
        <w:t>认真做好预算的编制</w:t>
      </w:r>
      <w:r>
        <w:rPr>
          <w:rFonts w:hint="eastAsia" w:asciiTheme="minorEastAsia" w:hAnsiTheme="minorEastAsia" w:eastAsiaTheme="minorEastAsia" w:cstheme="minorEastAsia"/>
          <w:b w:val="0"/>
          <w:bCs w:val="0"/>
          <w:color w:val="auto"/>
          <w:kern w:val="0"/>
          <w:sz w:val="24"/>
          <w:szCs w:val="24"/>
          <w:highlight w:val="none"/>
          <w:lang w:eastAsia="zh-CN" w:bidi="ar"/>
        </w:rPr>
        <w:t>，</w:t>
      </w:r>
      <w:r>
        <w:rPr>
          <w:rFonts w:hint="eastAsia" w:asciiTheme="minorEastAsia" w:hAnsiTheme="minorEastAsia" w:eastAsiaTheme="minorEastAsia" w:cstheme="minorEastAsia"/>
          <w:color w:val="auto"/>
          <w:kern w:val="0"/>
          <w:sz w:val="24"/>
          <w:szCs w:val="24"/>
          <w:highlight w:val="none"/>
          <w:lang w:bidi="ar"/>
        </w:rPr>
        <w:t xml:space="preserve">优先保障固定性的、相对刚性的费用支出项目，进一步提高预算编制的科学性、严谨性和可控性。 </w:t>
      </w:r>
    </w:p>
    <w:p>
      <w:pPr>
        <w:widowControl/>
        <w:spacing w:before="183" w:beforeLines="50" w:line="580" w:lineRule="exact"/>
        <w:ind w:firstLine="240" w:firstLineChars="100"/>
        <w:outlineLvl w:val="0"/>
        <w:rPr>
          <w:rFonts w:hint="eastAsia" w:asciiTheme="minorEastAsia" w:hAnsiTheme="minorEastAsia" w:eastAsiaTheme="minorEastAsia" w:cstheme="minorEastAsia"/>
          <w:color w:val="auto"/>
          <w:kern w:val="0"/>
          <w:sz w:val="24"/>
          <w:szCs w:val="24"/>
          <w:highlight w:val="none"/>
          <w:lang w:bidi="ar"/>
        </w:rPr>
      </w:pPr>
      <w:r>
        <w:rPr>
          <w:rFonts w:hint="eastAsia" w:asciiTheme="minorEastAsia" w:hAnsiTheme="minorEastAsia" w:eastAsiaTheme="minorEastAsia" w:cstheme="minorEastAsia"/>
          <w:color w:val="auto"/>
          <w:kern w:val="0"/>
          <w:sz w:val="24"/>
          <w:szCs w:val="24"/>
          <w:highlight w:val="none"/>
          <w:lang w:bidi="ar"/>
        </w:rPr>
        <w:t xml:space="preserve">（2）加强财务管理，严格财务审核。在费用报账支付时，按照预算编制的金额和用途进行资金使用审核、列报支付、财务核算，杜绝超支现象的发生。 </w:t>
      </w:r>
    </w:p>
    <w:p>
      <w:pPr>
        <w:widowControl/>
        <w:spacing w:before="183" w:beforeLines="50" w:line="580" w:lineRule="exact"/>
        <w:ind w:firstLine="240" w:firstLineChars="100"/>
        <w:outlineLvl w:val="0"/>
        <w:rPr>
          <w:rFonts w:hint="eastAsia" w:asciiTheme="minorEastAsia" w:hAnsiTheme="minorEastAsia" w:eastAsiaTheme="minorEastAsia" w:cstheme="minorEastAsia"/>
          <w:color w:val="auto"/>
          <w:kern w:val="0"/>
          <w:sz w:val="24"/>
          <w:szCs w:val="24"/>
          <w:highlight w:val="none"/>
          <w:lang w:bidi="ar"/>
        </w:rPr>
      </w:pPr>
      <w:r>
        <w:rPr>
          <w:rFonts w:hint="eastAsia" w:asciiTheme="minorEastAsia" w:hAnsiTheme="minorEastAsia" w:eastAsiaTheme="minorEastAsia" w:cstheme="minorEastAsia"/>
          <w:color w:val="auto"/>
          <w:kern w:val="0"/>
          <w:sz w:val="24"/>
          <w:szCs w:val="24"/>
          <w:highlight w:val="none"/>
          <w:lang w:bidi="ar"/>
        </w:rPr>
        <w:t xml:space="preserve">（3）成立绩效评价工作领导小组，负责组织、协调评价考核相关工作。高度重视项目管理工作，明确项目预算执行时间，加快预算执行进度。 </w:t>
      </w:r>
    </w:p>
    <w:p>
      <w:pPr>
        <w:spacing w:before="183" w:beforeLines="50" w:line="580" w:lineRule="exact"/>
        <w:outlineLvl w:val="0"/>
        <w:rPr>
          <w:rFonts w:hint="eastAsia" w:asciiTheme="minorEastAsia" w:hAnsiTheme="minorEastAsia" w:eastAsiaTheme="minorEastAsia" w:cstheme="minorEastAsia"/>
          <w:b/>
          <w:color w:val="auto"/>
          <w:sz w:val="24"/>
          <w:szCs w:val="24"/>
          <w:highlight w:val="none"/>
        </w:rPr>
      </w:pPr>
      <w:r>
        <w:rPr>
          <w:rFonts w:hint="default" w:asciiTheme="minorEastAsia" w:hAnsiTheme="minorEastAsia" w:eastAsiaTheme="minorEastAsia" w:cstheme="minorEastAsia"/>
          <w:b/>
          <w:color w:val="auto"/>
          <w:sz w:val="24"/>
          <w:szCs w:val="24"/>
          <w:highlight w:val="none"/>
          <w:lang w:val="en-US"/>
        </w:rPr>
        <w:t>2</w:t>
      </w:r>
      <w:r>
        <w:rPr>
          <w:rFonts w:hint="eastAsia" w:asciiTheme="minorEastAsia" w:hAnsiTheme="minorEastAsia" w:eastAsiaTheme="minorEastAsia" w:cstheme="minorEastAsia"/>
          <w:b/>
          <w:color w:val="auto"/>
          <w:sz w:val="24"/>
          <w:szCs w:val="24"/>
          <w:highlight w:val="none"/>
          <w:lang w:val="en-US" w:eastAsia="zh-CN"/>
        </w:rPr>
        <w:t>.</w:t>
      </w:r>
      <w:r>
        <w:rPr>
          <w:rFonts w:hint="eastAsia" w:asciiTheme="minorEastAsia" w:hAnsiTheme="minorEastAsia" w:eastAsiaTheme="minorEastAsia" w:cstheme="minorEastAsia"/>
          <w:b/>
          <w:color w:val="auto"/>
          <w:sz w:val="24"/>
          <w:szCs w:val="24"/>
          <w:highlight w:val="none"/>
        </w:rPr>
        <w:t>存在的问题及原因分析</w:t>
      </w:r>
    </w:p>
    <w:p>
      <w:pPr>
        <w:spacing w:before="183" w:beforeLines="50" w:line="580" w:lineRule="exact"/>
        <w:ind w:firstLine="240" w:firstLineChars="100"/>
        <w:outlineLvl w:val="0"/>
        <w:rPr>
          <w:rFonts w:hint="eastAsia" w:asciiTheme="minorEastAsia" w:hAnsiTheme="minorEastAsia" w:eastAsiaTheme="minorEastAsia" w:cstheme="minorEastAsia"/>
          <w:b w:val="0"/>
          <w:bCs w:val="0"/>
          <w:color w:val="auto"/>
          <w:kern w:val="0"/>
          <w:sz w:val="24"/>
          <w:szCs w:val="24"/>
          <w:highlight w:val="none"/>
          <w:lang w:val="en-US" w:eastAsia="zh-CN" w:bidi="ar"/>
        </w:rPr>
      </w:pPr>
      <w:r>
        <w:rPr>
          <w:rFonts w:hint="eastAsia" w:asciiTheme="minorEastAsia" w:hAnsiTheme="minorEastAsia" w:eastAsiaTheme="minorEastAsia" w:cstheme="minorEastAsia"/>
          <w:b w:val="0"/>
          <w:bCs w:val="0"/>
          <w:color w:val="auto"/>
          <w:kern w:val="0"/>
          <w:sz w:val="24"/>
          <w:szCs w:val="24"/>
          <w:highlight w:val="none"/>
          <w:lang w:eastAsia="zh-CN" w:bidi="ar"/>
        </w:rPr>
        <w:t>（</w:t>
      </w:r>
      <w:r>
        <w:rPr>
          <w:rFonts w:hint="eastAsia" w:asciiTheme="minorEastAsia" w:hAnsiTheme="minorEastAsia" w:eastAsiaTheme="minorEastAsia" w:cstheme="minorEastAsia"/>
          <w:b w:val="0"/>
          <w:bCs w:val="0"/>
          <w:color w:val="auto"/>
          <w:kern w:val="0"/>
          <w:sz w:val="24"/>
          <w:szCs w:val="24"/>
          <w:highlight w:val="none"/>
          <w:lang w:val="en-US" w:eastAsia="zh-CN" w:bidi="ar"/>
        </w:rPr>
        <w:t>1</w:t>
      </w:r>
      <w:r>
        <w:rPr>
          <w:rFonts w:hint="eastAsia" w:asciiTheme="minorEastAsia" w:hAnsiTheme="minorEastAsia" w:eastAsiaTheme="minorEastAsia" w:cstheme="minorEastAsia"/>
          <w:b w:val="0"/>
          <w:bCs w:val="0"/>
          <w:color w:val="auto"/>
          <w:kern w:val="0"/>
          <w:sz w:val="24"/>
          <w:szCs w:val="24"/>
          <w:highlight w:val="none"/>
          <w:lang w:eastAsia="zh-CN" w:bidi="ar"/>
        </w:rPr>
        <w:t>）</w:t>
      </w:r>
      <w:r>
        <w:rPr>
          <w:rFonts w:hint="eastAsia" w:asciiTheme="minorEastAsia" w:hAnsiTheme="minorEastAsia" w:eastAsiaTheme="minorEastAsia" w:cstheme="minorEastAsia"/>
          <w:b w:val="0"/>
          <w:bCs w:val="0"/>
          <w:color w:val="auto"/>
          <w:kern w:val="0"/>
          <w:sz w:val="24"/>
          <w:szCs w:val="24"/>
          <w:highlight w:val="none"/>
          <w:lang w:bidi="ar"/>
        </w:rPr>
        <w:t>本局202</w:t>
      </w:r>
      <w:r>
        <w:rPr>
          <w:rFonts w:hint="eastAsia" w:asciiTheme="minorEastAsia" w:hAnsiTheme="minorEastAsia" w:eastAsiaTheme="minorEastAsia" w:cstheme="minorEastAsia"/>
          <w:b w:val="0"/>
          <w:bCs w:val="0"/>
          <w:color w:val="auto"/>
          <w:kern w:val="0"/>
          <w:sz w:val="24"/>
          <w:szCs w:val="24"/>
          <w:highlight w:val="none"/>
          <w:lang w:val="en-US" w:eastAsia="zh-CN" w:bidi="ar"/>
        </w:rPr>
        <w:t>1</w:t>
      </w:r>
      <w:r>
        <w:rPr>
          <w:rFonts w:hint="eastAsia" w:asciiTheme="minorEastAsia" w:hAnsiTheme="minorEastAsia" w:eastAsiaTheme="minorEastAsia" w:cstheme="minorEastAsia"/>
          <w:b w:val="0"/>
          <w:bCs w:val="0"/>
          <w:color w:val="auto"/>
          <w:kern w:val="0"/>
          <w:sz w:val="24"/>
          <w:szCs w:val="24"/>
          <w:highlight w:val="none"/>
          <w:lang w:bidi="ar"/>
        </w:rPr>
        <w:t>年度年初预算数为</w:t>
      </w:r>
      <w:r>
        <w:rPr>
          <w:rFonts w:hint="eastAsia" w:asciiTheme="minorEastAsia" w:hAnsiTheme="minorEastAsia" w:eastAsiaTheme="minorEastAsia" w:cstheme="minorEastAsia"/>
          <w:b w:val="0"/>
          <w:bCs w:val="0"/>
          <w:color w:val="auto"/>
          <w:kern w:val="0"/>
          <w:sz w:val="24"/>
          <w:szCs w:val="24"/>
          <w:highlight w:val="none"/>
          <w:lang w:val="en-US" w:eastAsia="zh-CN" w:bidi="ar"/>
        </w:rPr>
        <w:t>1592.83</w:t>
      </w:r>
      <w:r>
        <w:rPr>
          <w:rFonts w:hint="eastAsia" w:asciiTheme="minorEastAsia" w:hAnsiTheme="minorEastAsia" w:eastAsiaTheme="minorEastAsia" w:cstheme="minorEastAsia"/>
          <w:b w:val="0"/>
          <w:bCs w:val="0"/>
          <w:color w:val="auto"/>
          <w:kern w:val="0"/>
          <w:sz w:val="24"/>
          <w:szCs w:val="24"/>
          <w:highlight w:val="none"/>
          <w:lang w:bidi="ar"/>
        </w:rPr>
        <w:t>万元，后期追加预算</w:t>
      </w:r>
      <w:r>
        <w:rPr>
          <w:rFonts w:hint="eastAsia" w:asciiTheme="minorEastAsia" w:hAnsiTheme="minorEastAsia" w:eastAsiaTheme="minorEastAsia" w:cstheme="minorEastAsia"/>
          <w:b w:val="0"/>
          <w:bCs w:val="0"/>
          <w:color w:val="auto"/>
          <w:kern w:val="0"/>
          <w:sz w:val="24"/>
          <w:szCs w:val="24"/>
          <w:highlight w:val="none"/>
          <w:lang w:val="en-US" w:eastAsia="zh-CN" w:bidi="ar"/>
        </w:rPr>
        <w:t>3612.68</w:t>
      </w:r>
      <w:r>
        <w:rPr>
          <w:rFonts w:hint="eastAsia" w:asciiTheme="minorEastAsia" w:hAnsiTheme="minorEastAsia" w:eastAsiaTheme="minorEastAsia" w:cstheme="minorEastAsia"/>
          <w:b w:val="0"/>
          <w:bCs w:val="0"/>
          <w:color w:val="auto"/>
          <w:kern w:val="0"/>
          <w:sz w:val="24"/>
          <w:szCs w:val="24"/>
          <w:highlight w:val="none"/>
          <w:lang w:bidi="ar"/>
        </w:rPr>
        <w:t xml:space="preserve"> 万元，调整预算是年初预算的</w:t>
      </w:r>
      <w:r>
        <w:rPr>
          <w:rFonts w:hint="eastAsia" w:asciiTheme="minorEastAsia" w:hAnsiTheme="minorEastAsia" w:eastAsiaTheme="minorEastAsia" w:cstheme="minorEastAsia"/>
          <w:b w:val="0"/>
          <w:bCs w:val="0"/>
          <w:color w:val="auto"/>
          <w:kern w:val="0"/>
          <w:sz w:val="24"/>
          <w:szCs w:val="24"/>
          <w:highlight w:val="none"/>
          <w:lang w:val="en-US" w:eastAsia="zh-CN" w:bidi="ar"/>
        </w:rPr>
        <w:t>2.27</w:t>
      </w:r>
      <w:r>
        <w:rPr>
          <w:rFonts w:hint="eastAsia" w:asciiTheme="minorEastAsia" w:hAnsiTheme="minorEastAsia" w:eastAsiaTheme="minorEastAsia" w:cstheme="minorEastAsia"/>
          <w:b w:val="0"/>
          <w:bCs w:val="0"/>
          <w:color w:val="auto"/>
          <w:kern w:val="0"/>
          <w:sz w:val="24"/>
          <w:szCs w:val="24"/>
          <w:highlight w:val="none"/>
          <w:lang w:bidi="ar"/>
        </w:rPr>
        <w:t>倍</w:t>
      </w:r>
      <w:r>
        <w:rPr>
          <w:rFonts w:hint="eastAsia" w:asciiTheme="minorEastAsia" w:hAnsiTheme="minorEastAsia" w:eastAsiaTheme="minorEastAsia" w:cstheme="minorEastAsia"/>
          <w:b w:val="0"/>
          <w:bCs w:val="0"/>
          <w:color w:val="auto"/>
          <w:kern w:val="0"/>
          <w:sz w:val="24"/>
          <w:szCs w:val="24"/>
          <w:highlight w:val="none"/>
          <w:lang w:eastAsia="zh-CN" w:bidi="ar"/>
        </w:rPr>
        <w:t>，</w:t>
      </w:r>
      <w:r>
        <w:rPr>
          <w:rFonts w:hint="eastAsia" w:asciiTheme="minorEastAsia" w:hAnsiTheme="minorEastAsia" w:eastAsiaTheme="minorEastAsia" w:cstheme="minorEastAsia"/>
          <w:b w:val="0"/>
          <w:bCs w:val="0"/>
          <w:color w:val="auto"/>
          <w:kern w:val="0"/>
          <w:sz w:val="24"/>
          <w:szCs w:val="24"/>
          <w:highlight w:val="none"/>
          <w:lang w:val="en-US" w:eastAsia="zh-CN" w:bidi="ar"/>
        </w:rPr>
        <w:t>虽然相比2020年有所下降</w:t>
      </w:r>
      <w:r>
        <w:rPr>
          <w:rFonts w:hint="eastAsia" w:asciiTheme="minorEastAsia" w:hAnsiTheme="minorEastAsia" w:eastAsiaTheme="minorEastAsia" w:cstheme="minorEastAsia"/>
          <w:b w:val="0"/>
          <w:bCs w:val="0"/>
          <w:color w:val="auto"/>
          <w:kern w:val="0"/>
          <w:sz w:val="24"/>
          <w:szCs w:val="24"/>
          <w:highlight w:val="none"/>
          <w:lang w:bidi="ar"/>
        </w:rPr>
        <w:t>，</w:t>
      </w:r>
      <w:r>
        <w:rPr>
          <w:rFonts w:hint="eastAsia" w:asciiTheme="minorEastAsia" w:hAnsiTheme="minorEastAsia" w:eastAsiaTheme="minorEastAsia" w:cstheme="minorEastAsia"/>
          <w:b w:val="0"/>
          <w:bCs w:val="0"/>
          <w:color w:val="auto"/>
          <w:kern w:val="0"/>
          <w:sz w:val="24"/>
          <w:szCs w:val="24"/>
          <w:highlight w:val="none"/>
          <w:lang w:val="en-US" w:eastAsia="zh-CN" w:bidi="ar"/>
        </w:rPr>
        <w:t xml:space="preserve">但是调整幅度还是很大。 </w:t>
      </w:r>
    </w:p>
    <w:p>
      <w:pPr>
        <w:spacing w:before="183" w:beforeLines="50" w:line="580" w:lineRule="exact"/>
        <w:ind w:firstLine="240" w:firstLineChars="100"/>
        <w:outlineLvl w:val="0"/>
        <w:rPr>
          <w:rFonts w:hint="eastAsia" w:asciiTheme="minorEastAsia" w:hAnsiTheme="minorEastAsia" w:eastAsiaTheme="minorEastAsia" w:cstheme="minorEastAsia"/>
          <w:b w:val="0"/>
          <w:bCs w:val="0"/>
          <w:color w:val="auto"/>
          <w:kern w:val="0"/>
          <w:sz w:val="24"/>
          <w:szCs w:val="24"/>
          <w:highlight w:val="none"/>
          <w:lang w:eastAsia="zh-CN" w:bidi="ar"/>
        </w:rPr>
      </w:pPr>
      <w:r>
        <w:rPr>
          <w:rFonts w:hint="eastAsia" w:asciiTheme="minorEastAsia" w:hAnsiTheme="minorEastAsia" w:eastAsiaTheme="minorEastAsia" w:cstheme="minorEastAsia"/>
          <w:b w:val="0"/>
          <w:bCs w:val="0"/>
          <w:color w:val="auto"/>
          <w:kern w:val="0"/>
          <w:sz w:val="24"/>
          <w:szCs w:val="24"/>
          <w:highlight w:val="none"/>
          <w:lang w:eastAsia="zh-CN" w:bidi="ar"/>
        </w:rPr>
        <w:t>（</w:t>
      </w:r>
      <w:r>
        <w:rPr>
          <w:rFonts w:hint="eastAsia" w:asciiTheme="minorEastAsia" w:hAnsiTheme="minorEastAsia" w:eastAsiaTheme="minorEastAsia" w:cstheme="minorEastAsia"/>
          <w:b w:val="0"/>
          <w:bCs w:val="0"/>
          <w:color w:val="auto"/>
          <w:kern w:val="0"/>
          <w:sz w:val="24"/>
          <w:szCs w:val="24"/>
          <w:highlight w:val="none"/>
          <w:lang w:val="en-US" w:eastAsia="zh-CN" w:bidi="ar"/>
        </w:rPr>
        <w:t>2</w:t>
      </w:r>
      <w:r>
        <w:rPr>
          <w:rFonts w:hint="eastAsia" w:asciiTheme="minorEastAsia" w:hAnsiTheme="minorEastAsia" w:eastAsiaTheme="minorEastAsia" w:cstheme="minorEastAsia"/>
          <w:b w:val="0"/>
          <w:bCs w:val="0"/>
          <w:color w:val="auto"/>
          <w:kern w:val="0"/>
          <w:sz w:val="24"/>
          <w:szCs w:val="24"/>
          <w:highlight w:val="none"/>
          <w:lang w:eastAsia="zh-CN" w:bidi="ar"/>
        </w:rPr>
        <w:t>）202</w:t>
      </w:r>
      <w:r>
        <w:rPr>
          <w:rFonts w:hint="eastAsia" w:asciiTheme="minorEastAsia" w:hAnsiTheme="minorEastAsia" w:eastAsiaTheme="minorEastAsia" w:cstheme="minorEastAsia"/>
          <w:b w:val="0"/>
          <w:bCs w:val="0"/>
          <w:color w:val="auto"/>
          <w:kern w:val="0"/>
          <w:sz w:val="24"/>
          <w:szCs w:val="24"/>
          <w:highlight w:val="none"/>
          <w:lang w:val="en-US" w:eastAsia="zh-CN" w:bidi="ar"/>
        </w:rPr>
        <w:t>1</w:t>
      </w:r>
      <w:r>
        <w:rPr>
          <w:rFonts w:hint="eastAsia" w:asciiTheme="minorEastAsia" w:hAnsiTheme="minorEastAsia" w:eastAsiaTheme="minorEastAsia" w:cstheme="minorEastAsia"/>
          <w:b w:val="0"/>
          <w:bCs w:val="0"/>
          <w:color w:val="auto"/>
          <w:kern w:val="0"/>
          <w:sz w:val="24"/>
          <w:szCs w:val="24"/>
          <w:highlight w:val="none"/>
          <w:lang w:eastAsia="zh-CN" w:bidi="ar"/>
        </w:rPr>
        <w:t>年，本部门预算</w:t>
      </w:r>
      <w:r>
        <w:rPr>
          <w:rFonts w:hint="eastAsia" w:asciiTheme="minorEastAsia" w:hAnsiTheme="minorEastAsia" w:eastAsiaTheme="minorEastAsia" w:cstheme="minorEastAsia"/>
          <w:b w:val="0"/>
          <w:bCs w:val="0"/>
          <w:color w:val="auto"/>
          <w:kern w:val="0"/>
          <w:sz w:val="24"/>
          <w:szCs w:val="24"/>
          <w:highlight w:val="none"/>
          <w:lang w:val="en-US" w:eastAsia="zh-CN" w:bidi="ar"/>
        </w:rPr>
        <w:t>执行</w:t>
      </w:r>
      <w:r>
        <w:rPr>
          <w:rFonts w:hint="eastAsia" w:asciiTheme="minorEastAsia" w:hAnsiTheme="minorEastAsia" w:eastAsiaTheme="minorEastAsia" w:cstheme="minorEastAsia"/>
          <w:b w:val="0"/>
          <w:bCs w:val="0"/>
          <w:color w:val="auto"/>
          <w:kern w:val="0"/>
          <w:sz w:val="24"/>
          <w:szCs w:val="24"/>
          <w:highlight w:val="none"/>
          <w:lang w:eastAsia="zh-CN" w:bidi="ar"/>
        </w:rPr>
        <w:t>率只有93.56%，预算完成率未达标；本部门202</w:t>
      </w:r>
      <w:r>
        <w:rPr>
          <w:rFonts w:hint="eastAsia" w:asciiTheme="minorEastAsia" w:hAnsiTheme="minorEastAsia" w:eastAsiaTheme="minorEastAsia" w:cstheme="minorEastAsia"/>
          <w:b w:val="0"/>
          <w:bCs w:val="0"/>
          <w:color w:val="auto"/>
          <w:kern w:val="0"/>
          <w:sz w:val="24"/>
          <w:szCs w:val="24"/>
          <w:highlight w:val="none"/>
          <w:lang w:val="en-US" w:eastAsia="zh-CN" w:bidi="ar"/>
        </w:rPr>
        <w:t>1</w:t>
      </w:r>
      <w:r>
        <w:rPr>
          <w:rFonts w:hint="eastAsia" w:asciiTheme="minorEastAsia" w:hAnsiTheme="minorEastAsia" w:eastAsiaTheme="minorEastAsia" w:cstheme="minorEastAsia"/>
          <w:b w:val="0"/>
          <w:bCs w:val="0"/>
          <w:color w:val="auto"/>
          <w:kern w:val="0"/>
          <w:sz w:val="24"/>
          <w:szCs w:val="24"/>
          <w:highlight w:val="none"/>
          <w:lang w:eastAsia="zh-CN" w:bidi="ar"/>
        </w:rPr>
        <w:t>年整体资金支出较20</w:t>
      </w:r>
      <w:r>
        <w:rPr>
          <w:rFonts w:hint="eastAsia" w:asciiTheme="minorEastAsia" w:hAnsiTheme="minorEastAsia" w:eastAsiaTheme="minorEastAsia" w:cstheme="minorEastAsia"/>
          <w:b w:val="0"/>
          <w:bCs w:val="0"/>
          <w:color w:val="auto"/>
          <w:kern w:val="0"/>
          <w:sz w:val="24"/>
          <w:szCs w:val="24"/>
          <w:highlight w:val="none"/>
          <w:lang w:val="en-US" w:eastAsia="zh-CN" w:bidi="ar"/>
        </w:rPr>
        <w:t>20</w:t>
      </w:r>
      <w:r>
        <w:rPr>
          <w:rFonts w:hint="eastAsia" w:asciiTheme="minorEastAsia" w:hAnsiTheme="minorEastAsia" w:eastAsiaTheme="minorEastAsia" w:cstheme="minorEastAsia"/>
          <w:b w:val="0"/>
          <w:bCs w:val="0"/>
          <w:color w:val="auto"/>
          <w:kern w:val="0"/>
          <w:sz w:val="24"/>
          <w:szCs w:val="24"/>
          <w:highlight w:val="none"/>
          <w:lang w:eastAsia="zh-CN" w:bidi="ar"/>
        </w:rPr>
        <w:t>年增加891.67万元，提高12.75%，但基本支出减少319.92万元，降低11.55%。主要是油物资储备等项目增加。本部门年初预算安排公用经费总额292.62万元，实际支出公用经费总额373.5万元，公用经费控制率为1.27倍。两项指标均未达标，影响本部门本年绩效评分和评价等级。</w:t>
      </w:r>
    </w:p>
    <w:p>
      <w:pPr>
        <w:spacing w:before="183" w:beforeLines="50" w:line="580" w:lineRule="exact"/>
        <w:ind w:firstLine="240" w:firstLineChars="100"/>
        <w:outlineLvl w:val="0"/>
        <w:rPr>
          <w:rFonts w:hint="eastAsia" w:asciiTheme="minorEastAsia" w:hAnsiTheme="minorEastAsia" w:eastAsiaTheme="minorEastAsia" w:cstheme="minorEastAsia"/>
          <w:b w:val="0"/>
          <w:bCs w:val="0"/>
          <w:color w:val="auto"/>
          <w:kern w:val="0"/>
          <w:sz w:val="24"/>
          <w:szCs w:val="24"/>
          <w:highlight w:val="none"/>
          <w:lang w:eastAsia="zh-CN" w:bidi="ar"/>
        </w:rPr>
      </w:pPr>
      <w:r>
        <w:rPr>
          <w:rFonts w:hint="eastAsia" w:asciiTheme="minorEastAsia" w:hAnsiTheme="minorEastAsia" w:eastAsiaTheme="minorEastAsia" w:cstheme="minorEastAsia"/>
          <w:b w:val="0"/>
          <w:bCs w:val="0"/>
          <w:color w:val="auto"/>
          <w:kern w:val="0"/>
          <w:sz w:val="24"/>
          <w:szCs w:val="24"/>
          <w:highlight w:val="none"/>
          <w:lang w:eastAsia="zh-CN" w:bidi="ar"/>
        </w:rPr>
        <w:t>（</w:t>
      </w:r>
      <w:r>
        <w:rPr>
          <w:rFonts w:hint="eastAsia" w:asciiTheme="minorEastAsia" w:hAnsiTheme="minorEastAsia" w:eastAsiaTheme="minorEastAsia" w:cstheme="minorEastAsia"/>
          <w:b w:val="0"/>
          <w:bCs w:val="0"/>
          <w:color w:val="auto"/>
          <w:kern w:val="0"/>
          <w:sz w:val="24"/>
          <w:szCs w:val="24"/>
          <w:highlight w:val="none"/>
          <w:lang w:val="en-US" w:eastAsia="zh-CN" w:bidi="ar"/>
        </w:rPr>
        <w:t>3</w:t>
      </w:r>
      <w:r>
        <w:rPr>
          <w:rFonts w:hint="eastAsia" w:asciiTheme="minorEastAsia" w:hAnsiTheme="minorEastAsia" w:eastAsiaTheme="minorEastAsia" w:cstheme="minorEastAsia"/>
          <w:b w:val="0"/>
          <w:bCs w:val="0"/>
          <w:color w:val="auto"/>
          <w:kern w:val="0"/>
          <w:sz w:val="24"/>
          <w:szCs w:val="24"/>
          <w:highlight w:val="none"/>
          <w:lang w:eastAsia="zh-CN" w:bidi="ar"/>
        </w:rPr>
        <w:t>）项目绩效目标设定的科学性、合理性有待加强。三级绩效指标名称设置不够规范，绩效指标类型设定不够规范、准确，设定的绩效指标指向不够明确，无法突出部门职责职能和工作重点方向；</w:t>
      </w:r>
    </w:p>
    <w:p>
      <w:pPr>
        <w:spacing w:before="183" w:beforeLines="50" w:line="580" w:lineRule="exact"/>
        <w:ind w:firstLine="240" w:firstLineChars="100"/>
        <w:outlineLvl w:val="0"/>
        <w:rPr>
          <w:rFonts w:hint="eastAsia" w:asciiTheme="minorEastAsia" w:hAnsiTheme="minorEastAsia" w:eastAsiaTheme="minorEastAsia" w:cstheme="minorEastAsia"/>
          <w:b w:val="0"/>
          <w:bCs w:val="0"/>
          <w:color w:val="auto"/>
          <w:kern w:val="0"/>
          <w:sz w:val="24"/>
          <w:szCs w:val="24"/>
          <w:highlight w:val="none"/>
          <w:lang w:eastAsia="zh-CN" w:bidi="ar"/>
        </w:rPr>
      </w:pPr>
      <w:r>
        <w:rPr>
          <w:rFonts w:hint="eastAsia" w:asciiTheme="minorEastAsia" w:hAnsiTheme="minorEastAsia" w:eastAsiaTheme="minorEastAsia" w:cstheme="minorEastAsia"/>
          <w:b w:val="0"/>
          <w:bCs w:val="0"/>
          <w:color w:val="auto"/>
          <w:kern w:val="0"/>
          <w:sz w:val="24"/>
          <w:szCs w:val="24"/>
          <w:highlight w:val="none"/>
          <w:lang w:eastAsia="zh-CN" w:bidi="ar"/>
        </w:rPr>
        <w:t>（</w:t>
      </w:r>
      <w:r>
        <w:rPr>
          <w:rFonts w:hint="eastAsia" w:asciiTheme="minorEastAsia" w:hAnsiTheme="minorEastAsia" w:eastAsiaTheme="minorEastAsia" w:cstheme="minorEastAsia"/>
          <w:b w:val="0"/>
          <w:bCs w:val="0"/>
          <w:color w:val="auto"/>
          <w:kern w:val="0"/>
          <w:sz w:val="24"/>
          <w:szCs w:val="24"/>
          <w:highlight w:val="none"/>
          <w:lang w:val="en-US" w:eastAsia="zh-CN" w:bidi="ar"/>
        </w:rPr>
        <w:t>4</w:t>
      </w:r>
      <w:r>
        <w:rPr>
          <w:rFonts w:hint="eastAsia" w:asciiTheme="minorEastAsia" w:hAnsiTheme="minorEastAsia" w:eastAsiaTheme="minorEastAsia" w:cstheme="minorEastAsia"/>
          <w:b w:val="0"/>
          <w:bCs w:val="0"/>
          <w:color w:val="auto"/>
          <w:kern w:val="0"/>
          <w:sz w:val="24"/>
          <w:szCs w:val="24"/>
          <w:highlight w:val="none"/>
          <w:lang w:eastAsia="zh-CN" w:bidi="ar"/>
        </w:rPr>
        <w:t>）各项工作推进力度还需加大。部分年初计划开展的工作推进缓慢，导致年初设定目标未能完成；</w:t>
      </w:r>
    </w:p>
    <w:p>
      <w:pPr>
        <w:spacing w:before="183" w:beforeLines="50" w:line="580" w:lineRule="exact"/>
        <w:ind w:firstLine="240" w:firstLineChars="100"/>
        <w:outlineLvl w:val="0"/>
        <w:rPr>
          <w:rFonts w:hint="eastAsia" w:asciiTheme="minorEastAsia" w:hAnsiTheme="minorEastAsia" w:eastAsiaTheme="minorEastAsia" w:cstheme="minorEastAsia"/>
          <w:b w:val="0"/>
          <w:bCs w:val="0"/>
          <w:color w:val="auto"/>
          <w:kern w:val="0"/>
          <w:sz w:val="24"/>
          <w:szCs w:val="24"/>
          <w:highlight w:val="none"/>
          <w:lang w:eastAsia="zh-CN" w:bidi="ar"/>
        </w:rPr>
      </w:pPr>
      <w:r>
        <w:rPr>
          <w:rFonts w:hint="eastAsia" w:asciiTheme="minorEastAsia" w:hAnsiTheme="minorEastAsia" w:eastAsiaTheme="minorEastAsia" w:cstheme="minorEastAsia"/>
          <w:b w:val="0"/>
          <w:bCs w:val="0"/>
          <w:color w:val="auto"/>
          <w:kern w:val="0"/>
          <w:sz w:val="24"/>
          <w:szCs w:val="24"/>
          <w:highlight w:val="none"/>
          <w:lang w:eastAsia="zh-CN" w:bidi="ar"/>
        </w:rPr>
        <w:t>（</w:t>
      </w:r>
      <w:r>
        <w:rPr>
          <w:rFonts w:hint="eastAsia" w:asciiTheme="minorEastAsia" w:hAnsiTheme="minorEastAsia" w:eastAsiaTheme="minorEastAsia" w:cstheme="minorEastAsia"/>
          <w:b w:val="0"/>
          <w:bCs w:val="0"/>
          <w:color w:val="auto"/>
          <w:kern w:val="0"/>
          <w:sz w:val="24"/>
          <w:szCs w:val="24"/>
          <w:highlight w:val="none"/>
          <w:lang w:val="en-US" w:eastAsia="zh-CN" w:bidi="ar"/>
        </w:rPr>
        <w:t>5</w:t>
      </w:r>
      <w:r>
        <w:rPr>
          <w:rFonts w:hint="eastAsia" w:asciiTheme="minorEastAsia" w:hAnsiTheme="minorEastAsia" w:eastAsiaTheme="minorEastAsia" w:cstheme="minorEastAsia"/>
          <w:b w:val="0"/>
          <w:bCs w:val="0"/>
          <w:color w:val="auto"/>
          <w:kern w:val="0"/>
          <w:sz w:val="24"/>
          <w:szCs w:val="24"/>
          <w:highlight w:val="none"/>
          <w:lang w:eastAsia="zh-CN" w:bidi="ar"/>
        </w:rPr>
        <w:t>）预算不够精准。由于年初对部分工作的不可预见性，在执行的过程中对部分项目内容进行调整。 </w:t>
      </w:r>
    </w:p>
    <w:p>
      <w:pPr>
        <w:spacing w:before="183" w:beforeLines="50" w:line="580" w:lineRule="exact"/>
        <w:outlineLvl w:val="0"/>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lang w:val="en-US" w:eastAsia="zh-CN"/>
        </w:rPr>
        <w:t>3.</w:t>
      </w:r>
      <w:r>
        <w:rPr>
          <w:rFonts w:hint="eastAsia" w:asciiTheme="minorEastAsia" w:hAnsiTheme="minorEastAsia" w:eastAsiaTheme="minorEastAsia" w:cstheme="minorEastAsia"/>
          <w:b/>
          <w:color w:val="auto"/>
          <w:sz w:val="24"/>
          <w:szCs w:val="24"/>
          <w:highlight w:val="none"/>
        </w:rPr>
        <w:t>下一步改进措施</w:t>
      </w:r>
    </w:p>
    <w:p>
      <w:pPr>
        <w:spacing w:line="540" w:lineRule="exact"/>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1</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加强绩效管理，完善绩效考核制度，逐步形成工业和信息化系统绩效评价制度，提高财政资金使用效益。虽然年末结转和结余较上年有所减少，但是仍需加快支出进度，除政策原因结转结余外，减少结转结余资金。</w:t>
      </w:r>
    </w:p>
    <w:p>
      <w:pPr>
        <w:spacing w:line="580" w:lineRule="exact"/>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lang w:eastAsia="zh-CN"/>
        </w:rPr>
        <w:t>）进一步加强预算管理意识，</w:t>
      </w:r>
      <w:r>
        <w:rPr>
          <w:rFonts w:hint="eastAsia" w:asciiTheme="minorEastAsia" w:hAnsiTheme="minorEastAsia" w:eastAsiaTheme="minorEastAsia" w:cstheme="minorEastAsia"/>
          <w:color w:val="auto"/>
          <w:sz w:val="24"/>
          <w:szCs w:val="24"/>
          <w:highlight w:val="none"/>
        </w:rPr>
        <w:t>强化</w:t>
      </w:r>
      <w:r>
        <w:rPr>
          <w:rFonts w:hint="eastAsia" w:asciiTheme="minorEastAsia" w:hAnsiTheme="minorEastAsia" w:eastAsiaTheme="minorEastAsia" w:cstheme="minorEastAsia"/>
          <w:color w:val="auto"/>
          <w:sz w:val="24"/>
          <w:szCs w:val="24"/>
          <w:highlight w:val="none"/>
          <w:lang w:val="en-US" w:eastAsia="zh-CN"/>
        </w:rPr>
        <w:t>全员</w:t>
      </w:r>
      <w:r>
        <w:rPr>
          <w:rFonts w:hint="eastAsia" w:asciiTheme="minorEastAsia" w:hAnsiTheme="minorEastAsia" w:eastAsiaTheme="minorEastAsia" w:cstheme="minorEastAsia"/>
          <w:color w:val="auto"/>
          <w:sz w:val="24"/>
          <w:szCs w:val="24"/>
          <w:highlight w:val="none"/>
        </w:rPr>
        <w:t>预算</w:t>
      </w:r>
      <w:r>
        <w:rPr>
          <w:rFonts w:hint="eastAsia" w:asciiTheme="minorEastAsia" w:hAnsiTheme="minorEastAsia" w:eastAsiaTheme="minorEastAsia" w:cstheme="minorEastAsia"/>
          <w:color w:val="auto"/>
          <w:sz w:val="24"/>
          <w:szCs w:val="24"/>
          <w:highlight w:val="none"/>
          <w:lang w:val="en-US" w:eastAsia="zh-CN"/>
        </w:rPr>
        <w:t>意识</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做到</w:t>
      </w:r>
      <w:r>
        <w:rPr>
          <w:rFonts w:hint="eastAsia" w:asciiTheme="minorEastAsia" w:hAnsiTheme="minorEastAsia" w:eastAsiaTheme="minorEastAsia" w:cstheme="minorEastAsia"/>
          <w:color w:val="auto"/>
          <w:sz w:val="24"/>
          <w:szCs w:val="24"/>
          <w:highlight w:val="none"/>
        </w:rPr>
        <w:t>事前必编预算，</w:t>
      </w:r>
      <w:r>
        <w:rPr>
          <w:rFonts w:hint="eastAsia" w:asciiTheme="minorEastAsia" w:hAnsiTheme="minorEastAsia" w:eastAsiaTheme="minorEastAsia" w:cstheme="minorEastAsia"/>
          <w:color w:val="auto"/>
          <w:sz w:val="24"/>
          <w:szCs w:val="24"/>
          <w:highlight w:val="none"/>
          <w:lang w:val="en-US" w:eastAsia="zh-CN"/>
        </w:rPr>
        <w:t>事中严格</w:t>
      </w:r>
      <w:r>
        <w:rPr>
          <w:rFonts w:hint="eastAsia" w:asciiTheme="minorEastAsia" w:hAnsiTheme="minorEastAsia" w:eastAsiaTheme="minorEastAsia" w:cstheme="minorEastAsia"/>
          <w:color w:val="auto"/>
          <w:sz w:val="24"/>
          <w:szCs w:val="24"/>
          <w:highlight w:val="none"/>
        </w:rPr>
        <w:t>控制经费使用，</w:t>
      </w:r>
      <w:r>
        <w:rPr>
          <w:rFonts w:hint="eastAsia" w:asciiTheme="minorEastAsia" w:hAnsiTheme="minorEastAsia" w:eastAsiaTheme="minorEastAsia" w:cstheme="minorEastAsia"/>
          <w:color w:val="auto"/>
          <w:sz w:val="24"/>
          <w:szCs w:val="24"/>
          <w:highlight w:val="none"/>
          <w:lang w:val="en-US" w:eastAsia="zh-CN"/>
        </w:rPr>
        <w:t>事后</w:t>
      </w:r>
      <w:r>
        <w:rPr>
          <w:rFonts w:hint="eastAsia" w:asciiTheme="minorEastAsia" w:hAnsiTheme="minorEastAsia" w:eastAsiaTheme="minorEastAsia" w:cstheme="minorEastAsia"/>
          <w:color w:val="auto"/>
          <w:sz w:val="24"/>
          <w:szCs w:val="24"/>
          <w:highlight w:val="none"/>
        </w:rPr>
        <w:t>绩效</w:t>
      </w:r>
      <w:r>
        <w:rPr>
          <w:rFonts w:hint="eastAsia" w:asciiTheme="minorEastAsia" w:hAnsiTheme="minorEastAsia" w:eastAsiaTheme="minorEastAsia" w:cstheme="minorEastAsia"/>
          <w:color w:val="auto"/>
          <w:sz w:val="24"/>
          <w:szCs w:val="24"/>
          <w:highlight w:val="none"/>
          <w:lang w:val="en-US" w:eastAsia="zh-CN"/>
        </w:rPr>
        <w:t>管理</w:t>
      </w:r>
      <w:r>
        <w:rPr>
          <w:rFonts w:hint="eastAsia" w:asciiTheme="minorEastAsia" w:hAnsiTheme="minorEastAsia" w:eastAsiaTheme="minorEastAsia" w:cstheme="minorEastAsia"/>
          <w:color w:val="auto"/>
          <w:sz w:val="24"/>
          <w:szCs w:val="24"/>
          <w:highlight w:val="none"/>
        </w:rPr>
        <w:t>，将绩效管理贯穿于预算编制、执行及决算等</w:t>
      </w:r>
      <w:r>
        <w:rPr>
          <w:rFonts w:hint="eastAsia" w:asciiTheme="minorEastAsia" w:hAnsiTheme="minorEastAsia" w:eastAsiaTheme="minorEastAsia" w:cstheme="minorEastAsia"/>
          <w:color w:val="auto"/>
          <w:sz w:val="24"/>
          <w:szCs w:val="24"/>
          <w:highlight w:val="none"/>
          <w:lang w:val="en-US" w:eastAsia="zh-CN"/>
        </w:rPr>
        <w:t>全过程</w:t>
      </w:r>
      <w:r>
        <w:rPr>
          <w:rFonts w:hint="eastAsia" w:asciiTheme="minorEastAsia" w:hAnsiTheme="minorEastAsia" w:eastAsiaTheme="minorEastAsia" w:cstheme="minorEastAsia"/>
          <w:color w:val="auto"/>
          <w:sz w:val="24"/>
          <w:szCs w:val="24"/>
          <w:highlight w:val="none"/>
          <w:lang w:eastAsia="zh-CN"/>
        </w:rPr>
        <w:t>；</w:t>
      </w:r>
    </w:p>
    <w:p>
      <w:pPr>
        <w:spacing w:line="540" w:lineRule="exact"/>
        <w:ind w:firstLine="480" w:firstLineChars="20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加强预算监督监察，完善绩效考核制度</w:t>
      </w:r>
      <w:r>
        <w:rPr>
          <w:rFonts w:hint="eastAsia" w:asciiTheme="minorEastAsia" w:hAnsiTheme="minorEastAsia" w:eastAsiaTheme="minorEastAsia" w:cstheme="minorEastAsia"/>
          <w:color w:val="auto"/>
          <w:sz w:val="24"/>
          <w:szCs w:val="24"/>
          <w:highlight w:val="none"/>
          <w:lang w:eastAsia="zh-CN"/>
        </w:rPr>
        <w:t>，逐步形成工业和信息化系统绩效评价制度，提高财政资金使用效益。</w:t>
      </w:r>
    </w:p>
    <w:p>
      <w:pPr>
        <w:widowControl/>
        <w:spacing w:before="183" w:beforeLines="50" w:line="580" w:lineRule="exact"/>
        <w:outlineLvl w:val="0"/>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kern w:val="0"/>
          <w:sz w:val="24"/>
          <w:szCs w:val="24"/>
          <w:highlight w:val="none"/>
          <w:lang w:val="en-US" w:eastAsia="zh-CN" w:bidi="ar"/>
        </w:rPr>
        <w:t>4、</w:t>
      </w:r>
      <w:r>
        <w:rPr>
          <w:rFonts w:hint="eastAsia" w:asciiTheme="minorEastAsia" w:hAnsiTheme="minorEastAsia" w:eastAsiaTheme="minorEastAsia" w:cstheme="minorEastAsia"/>
          <w:b/>
          <w:bCs/>
          <w:color w:val="auto"/>
          <w:kern w:val="0"/>
          <w:sz w:val="24"/>
          <w:szCs w:val="24"/>
          <w:highlight w:val="none"/>
          <w:lang w:bidi="ar"/>
        </w:rPr>
        <w:t>改进措施</w:t>
      </w:r>
    </w:p>
    <w:p>
      <w:pPr>
        <w:widowControl/>
        <w:spacing w:before="183" w:beforeLines="50" w:line="580" w:lineRule="exact"/>
        <w:ind w:firstLine="480" w:firstLineChars="200"/>
        <w:outlineLvl w:val="0"/>
        <w:rPr>
          <w:rFonts w:hint="eastAsia" w:asciiTheme="minorEastAsia" w:hAnsiTheme="minorEastAsia" w:eastAsiaTheme="minorEastAsia" w:cstheme="minorEastAsia"/>
          <w:color w:val="auto"/>
          <w:kern w:val="0"/>
          <w:sz w:val="24"/>
          <w:szCs w:val="24"/>
          <w:highlight w:val="none"/>
          <w:lang w:bidi="ar"/>
        </w:rPr>
      </w:pPr>
      <w:r>
        <w:rPr>
          <w:rFonts w:hint="eastAsia" w:asciiTheme="minorEastAsia" w:hAnsiTheme="minorEastAsia" w:eastAsiaTheme="minorEastAsia" w:cstheme="minorEastAsia"/>
          <w:color w:val="auto"/>
          <w:kern w:val="0"/>
          <w:sz w:val="24"/>
          <w:szCs w:val="24"/>
          <w:highlight w:val="none"/>
          <w:lang w:bidi="ar"/>
        </w:rPr>
        <w:t>（1）加强绩效管理，科学设置绩效指标，将预算绩效工作抓好抓实；对各项工作提前谋划，统筹安排，合理配置，不断完善支出结构，加快支出进度，提高资金使用率，确保绩效目标的实现；</w:t>
      </w:r>
    </w:p>
    <w:p>
      <w:pPr>
        <w:widowControl/>
        <w:spacing w:before="183" w:beforeLines="50" w:line="580" w:lineRule="exact"/>
        <w:ind w:firstLine="480" w:firstLineChars="200"/>
        <w:outlineLvl w:val="0"/>
        <w:rPr>
          <w:rFonts w:hint="eastAsia" w:asciiTheme="minorEastAsia" w:hAnsiTheme="minorEastAsia" w:eastAsiaTheme="minorEastAsia" w:cstheme="minorEastAsia"/>
          <w:color w:val="auto"/>
          <w:kern w:val="0"/>
          <w:sz w:val="24"/>
          <w:szCs w:val="24"/>
          <w:highlight w:val="none"/>
          <w:lang w:bidi="ar"/>
        </w:rPr>
      </w:pPr>
      <w:r>
        <w:rPr>
          <w:rFonts w:hint="eastAsia" w:asciiTheme="minorEastAsia" w:hAnsiTheme="minorEastAsia" w:eastAsiaTheme="minorEastAsia" w:cstheme="minorEastAsia"/>
          <w:color w:val="auto"/>
          <w:kern w:val="0"/>
          <w:sz w:val="24"/>
          <w:szCs w:val="24"/>
          <w:highlight w:val="none"/>
          <w:lang w:eastAsia="zh-CN" w:bidi="ar"/>
        </w:rPr>
        <w:t>（</w:t>
      </w:r>
      <w:r>
        <w:rPr>
          <w:rFonts w:hint="eastAsia" w:asciiTheme="minorEastAsia" w:hAnsiTheme="minorEastAsia" w:eastAsiaTheme="minorEastAsia" w:cstheme="minorEastAsia"/>
          <w:color w:val="auto"/>
          <w:kern w:val="0"/>
          <w:sz w:val="24"/>
          <w:szCs w:val="24"/>
          <w:highlight w:val="none"/>
          <w:lang w:val="en-US" w:eastAsia="zh-CN" w:bidi="ar"/>
        </w:rPr>
        <w:t>2</w:t>
      </w:r>
      <w:r>
        <w:rPr>
          <w:rFonts w:hint="eastAsia" w:asciiTheme="minorEastAsia" w:hAnsiTheme="minorEastAsia" w:eastAsiaTheme="minorEastAsia" w:cstheme="minorEastAsia"/>
          <w:color w:val="auto"/>
          <w:kern w:val="0"/>
          <w:sz w:val="24"/>
          <w:szCs w:val="24"/>
          <w:highlight w:val="none"/>
          <w:lang w:eastAsia="zh-CN" w:bidi="ar"/>
        </w:rPr>
        <w:t>）</w:t>
      </w:r>
      <w:r>
        <w:rPr>
          <w:rFonts w:hint="eastAsia" w:asciiTheme="minorEastAsia" w:hAnsiTheme="minorEastAsia" w:eastAsiaTheme="minorEastAsia" w:cstheme="minorEastAsia"/>
          <w:color w:val="auto"/>
          <w:kern w:val="0"/>
          <w:sz w:val="24"/>
          <w:szCs w:val="24"/>
          <w:highlight w:val="none"/>
          <w:lang w:bidi="ar"/>
        </w:rPr>
        <w:t>进一步加强财务规范化管理，增强内部预算管理意识，严格按照预算编制的相关制度和要求进行预算编制和绩效评估。</w:t>
      </w:r>
    </w:p>
    <w:p>
      <w:pPr>
        <w:widowControl/>
        <w:spacing w:before="183" w:beforeLines="50" w:line="580" w:lineRule="exact"/>
        <w:ind w:firstLine="480" w:firstLineChars="200"/>
        <w:outlineLvl w:val="0"/>
        <w:rPr>
          <w:rFonts w:hint="eastAsia" w:asciiTheme="minorEastAsia" w:hAnsiTheme="minorEastAsia" w:eastAsiaTheme="minorEastAsia" w:cstheme="minorEastAsia"/>
          <w:color w:val="auto"/>
          <w:kern w:val="0"/>
          <w:sz w:val="24"/>
          <w:szCs w:val="24"/>
          <w:highlight w:val="none"/>
          <w:lang w:bidi="ar"/>
        </w:rPr>
      </w:pPr>
      <w:r>
        <w:rPr>
          <w:rFonts w:hint="eastAsia" w:asciiTheme="minorEastAsia" w:hAnsiTheme="minorEastAsia" w:eastAsiaTheme="minorEastAsia" w:cstheme="minorEastAsia"/>
          <w:color w:val="auto"/>
          <w:kern w:val="0"/>
          <w:sz w:val="24"/>
          <w:szCs w:val="24"/>
          <w:highlight w:val="none"/>
          <w:lang w:eastAsia="zh-CN" w:bidi="ar"/>
        </w:rPr>
        <w:t>（</w:t>
      </w:r>
      <w:r>
        <w:rPr>
          <w:rFonts w:hint="eastAsia" w:asciiTheme="minorEastAsia" w:hAnsiTheme="minorEastAsia" w:eastAsiaTheme="minorEastAsia" w:cstheme="minorEastAsia"/>
          <w:color w:val="auto"/>
          <w:kern w:val="0"/>
          <w:sz w:val="24"/>
          <w:szCs w:val="24"/>
          <w:highlight w:val="none"/>
          <w:lang w:val="en-US" w:eastAsia="zh-CN" w:bidi="ar"/>
        </w:rPr>
        <w:t>3</w:t>
      </w:r>
      <w:r>
        <w:rPr>
          <w:rFonts w:hint="eastAsia" w:asciiTheme="minorEastAsia" w:hAnsiTheme="minorEastAsia" w:eastAsiaTheme="minorEastAsia" w:cstheme="minorEastAsia"/>
          <w:color w:val="auto"/>
          <w:kern w:val="0"/>
          <w:sz w:val="24"/>
          <w:szCs w:val="24"/>
          <w:highlight w:val="none"/>
          <w:lang w:eastAsia="zh-CN" w:bidi="ar"/>
        </w:rPr>
        <w:t>）</w:t>
      </w:r>
      <w:r>
        <w:rPr>
          <w:rFonts w:hint="eastAsia" w:asciiTheme="minorEastAsia" w:hAnsiTheme="minorEastAsia" w:eastAsiaTheme="minorEastAsia" w:cstheme="minorEastAsia"/>
          <w:color w:val="auto"/>
          <w:kern w:val="0"/>
          <w:sz w:val="24"/>
          <w:szCs w:val="24"/>
          <w:highlight w:val="none"/>
          <w:lang w:bidi="ar"/>
        </w:rPr>
        <w:t>对本单位当年度的各项工作开展做到心中有数，统筹安排，合理配置，不断完善支出结构，提高资金使用率，进一步完善预算管理体制，加强项目开展进度的跟踪，开展项目绩效评价，确保项目绩效目标的完成。</w:t>
      </w:r>
    </w:p>
    <w:p>
      <w:pPr>
        <w:spacing w:before="183" w:beforeLines="50" w:after="183" w:afterLines="50" w:line="600" w:lineRule="exact"/>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lang w:val="en-US" w:eastAsia="zh-CN"/>
        </w:rPr>
        <w:t>九、</w:t>
      </w:r>
      <w:r>
        <w:rPr>
          <w:rFonts w:hint="eastAsia" w:asciiTheme="minorEastAsia" w:hAnsiTheme="minorEastAsia" w:eastAsiaTheme="minorEastAsia" w:cstheme="minorEastAsia"/>
          <w:b/>
          <w:bCs/>
          <w:color w:val="auto"/>
          <w:sz w:val="24"/>
          <w:szCs w:val="24"/>
          <w:highlight w:val="none"/>
        </w:rPr>
        <w:t>有关建议</w:t>
      </w:r>
    </w:p>
    <w:p>
      <w:pPr>
        <w:widowControl/>
        <w:spacing w:before="183" w:beforeLines="50" w:line="580" w:lineRule="exact"/>
        <w:ind w:firstLine="480" w:firstLineChars="200"/>
        <w:outlineLvl w:val="0"/>
        <w:rPr>
          <w:rFonts w:hint="eastAsia" w:asciiTheme="minorEastAsia" w:hAnsiTheme="minorEastAsia" w:eastAsiaTheme="minorEastAsia" w:cstheme="minorEastAsia"/>
          <w:color w:val="auto"/>
          <w:kern w:val="0"/>
          <w:sz w:val="24"/>
          <w:szCs w:val="24"/>
          <w:highlight w:val="none"/>
          <w:lang w:bidi="ar"/>
        </w:rPr>
      </w:pPr>
      <w:r>
        <w:rPr>
          <w:rFonts w:hint="eastAsia" w:asciiTheme="minorEastAsia" w:hAnsiTheme="minorEastAsia" w:eastAsiaTheme="minorEastAsia" w:cstheme="minorEastAsia"/>
          <w:color w:val="auto"/>
          <w:kern w:val="0"/>
          <w:sz w:val="24"/>
          <w:szCs w:val="24"/>
          <w:highlight w:val="none"/>
          <w:lang w:val="en-US" w:eastAsia="zh-CN" w:bidi="ar"/>
        </w:rPr>
        <w:t>进一步</w:t>
      </w:r>
      <w:r>
        <w:rPr>
          <w:rFonts w:hint="eastAsia" w:asciiTheme="minorEastAsia" w:hAnsiTheme="minorEastAsia" w:eastAsiaTheme="minorEastAsia" w:cstheme="minorEastAsia"/>
          <w:color w:val="auto"/>
          <w:kern w:val="0"/>
          <w:sz w:val="24"/>
          <w:szCs w:val="24"/>
          <w:highlight w:val="none"/>
          <w:lang w:bidi="ar"/>
        </w:rPr>
        <w:t>加强对各</w:t>
      </w:r>
      <w:r>
        <w:rPr>
          <w:rFonts w:hint="eastAsia" w:asciiTheme="minorEastAsia" w:hAnsiTheme="minorEastAsia" w:eastAsiaTheme="minorEastAsia" w:cstheme="minorEastAsia"/>
          <w:color w:val="auto"/>
          <w:kern w:val="0"/>
          <w:sz w:val="24"/>
          <w:szCs w:val="24"/>
          <w:highlight w:val="none"/>
          <w:lang w:val="en-US" w:eastAsia="zh-CN" w:bidi="ar"/>
        </w:rPr>
        <w:t>单位（部门）绩效管理</w:t>
      </w:r>
      <w:r>
        <w:rPr>
          <w:rFonts w:hint="eastAsia" w:asciiTheme="minorEastAsia" w:hAnsiTheme="minorEastAsia" w:eastAsiaTheme="minorEastAsia" w:cstheme="minorEastAsia"/>
          <w:color w:val="auto"/>
          <w:kern w:val="0"/>
          <w:sz w:val="24"/>
          <w:szCs w:val="24"/>
          <w:highlight w:val="none"/>
          <w:lang w:bidi="ar"/>
        </w:rPr>
        <w:t>指导或培训</w:t>
      </w:r>
      <w:r>
        <w:rPr>
          <w:rFonts w:hint="eastAsia" w:asciiTheme="minorEastAsia" w:hAnsiTheme="minorEastAsia" w:eastAsiaTheme="minorEastAsia" w:cstheme="minorEastAsia"/>
          <w:color w:val="auto"/>
          <w:kern w:val="0"/>
          <w:sz w:val="24"/>
          <w:szCs w:val="24"/>
          <w:highlight w:val="none"/>
          <w:lang w:val="en-US" w:eastAsia="zh-CN" w:bidi="ar"/>
        </w:rPr>
        <w:t>，开展</w:t>
      </w:r>
      <w:r>
        <w:rPr>
          <w:rFonts w:hint="eastAsia" w:asciiTheme="minorEastAsia" w:hAnsiTheme="minorEastAsia" w:eastAsiaTheme="minorEastAsia" w:cstheme="minorEastAsia"/>
          <w:color w:val="auto"/>
          <w:kern w:val="0"/>
          <w:sz w:val="24"/>
          <w:szCs w:val="24"/>
          <w:highlight w:val="none"/>
          <w:lang w:bidi="ar"/>
        </w:rPr>
        <w:t>有针对性地</w:t>
      </w:r>
      <w:r>
        <w:rPr>
          <w:rFonts w:hint="eastAsia" w:asciiTheme="minorEastAsia" w:hAnsiTheme="minorEastAsia" w:eastAsiaTheme="minorEastAsia" w:cstheme="minorEastAsia"/>
          <w:color w:val="auto"/>
          <w:kern w:val="0"/>
          <w:sz w:val="24"/>
          <w:szCs w:val="24"/>
          <w:highlight w:val="none"/>
          <w:lang w:val="en-US" w:eastAsia="zh-CN" w:bidi="ar"/>
        </w:rPr>
        <w:t>培训</w:t>
      </w:r>
      <w:r>
        <w:rPr>
          <w:rFonts w:hint="eastAsia" w:asciiTheme="minorEastAsia" w:hAnsiTheme="minorEastAsia" w:eastAsiaTheme="minorEastAsia" w:cstheme="minorEastAsia"/>
          <w:color w:val="auto"/>
          <w:kern w:val="0"/>
          <w:sz w:val="24"/>
          <w:szCs w:val="24"/>
          <w:highlight w:val="none"/>
          <w:lang w:bidi="ar"/>
        </w:rPr>
        <w:t>，完善优化各单位的绩效指标</w:t>
      </w:r>
      <w:r>
        <w:rPr>
          <w:rFonts w:hint="eastAsia" w:asciiTheme="minorEastAsia" w:hAnsiTheme="minorEastAsia" w:eastAsiaTheme="minorEastAsia" w:cstheme="minorEastAsia"/>
          <w:color w:val="auto"/>
          <w:kern w:val="0"/>
          <w:sz w:val="24"/>
          <w:szCs w:val="24"/>
          <w:highlight w:val="none"/>
          <w:lang w:val="en-US" w:eastAsia="zh-CN" w:bidi="ar"/>
        </w:rPr>
        <w:t>体系</w:t>
      </w:r>
      <w:r>
        <w:rPr>
          <w:rFonts w:hint="eastAsia" w:asciiTheme="minorEastAsia" w:hAnsiTheme="minorEastAsia" w:eastAsiaTheme="minorEastAsia" w:cstheme="minorEastAsia"/>
          <w:color w:val="auto"/>
          <w:kern w:val="0"/>
          <w:sz w:val="24"/>
          <w:szCs w:val="24"/>
          <w:highlight w:val="none"/>
          <w:lang w:bidi="ar"/>
        </w:rPr>
        <w:t>，使绩效目标不断趋于完善，设定更加</w:t>
      </w:r>
      <w:r>
        <w:rPr>
          <w:rFonts w:hint="eastAsia" w:asciiTheme="minorEastAsia" w:hAnsiTheme="minorEastAsia" w:eastAsiaTheme="minorEastAsia" w:cstheme="minorEastAsia"/>
          <w:color w:val="auto"/>
          <w:kern w:val="0"/>
          <w:sz w:val="24"/>
          <w:szCs w:val="24"/>
          <w:highlight w:val="none"/>
          <w:lang w:val="en-US" w:eastAsia="zh-CN" w:bidi="ar"/>
        </w:rPr>
        <w:t>合理</w:t>
      </w:r>
      <w:r>
        <w:rPr>
          <w:rFonts w:hint="eastAsia" w:asciiTheme="minorEastAsia" w:hAnsiTheme="minorEastAsia" w:eastAsiaTheme="minorEastAsia" w:cstheme="minorEastAsia"/>
          <w:color w:val="auto"/>
          <w:kern w:val="0"/>
          <w:sz w:val="24"/>
          <w:szCs w:val="24"/>
          <w:highlight w:val="none"/>
          <w:lang w:bidi="ar"/>
        </w:rPr>
        <w:t>，更具可操作性和</w:t>
      </w:r>
      <w:r>
        <w:rPr>
          <w:rFonts w:hint="eastAsia" w:asciiTheme="minorEastAsia" w:hAnsiTheme="minorEastAsia" w:eastAsiaTheme="minorEastAsia" w:cstheme="minorEastAsia"/>
          <w:color w:val="auto"/>
          <w:kern w:val="0"/>
          <w:sz w:val="24"/>
          <w:szCs w:val="24"/>
          <w:highlight w:val="none"/>
          <w:lang w:val="en-US" w:eastAsia="zh-CN" w:bidi="ar"/>
        </w:rPr>
        <w:t>贴合各单位实际</w:t>
      </w:r>
      <w:r>
        <w:rPr>
          <w:rFonts w:hint="eastAsia" w:asciiTheme="minorEastAsia" w:hAnsiTheme="minorEastAsia" w:eastAsiaTheme="minorEastAsia" w:cstheme="minorEastAsia"/>
          <w:color w:val="auto"/>
          <w:kern w:val="0"/>
          <w:sz w:val="24"/>
          <w:szCs w:val="24"/>
          <w:highlight w:val="none"/>
          <w:lang w:bidi="ar"/>
        </w:rPr>
        <w:t>，提升各</w:t>
      </w:r>
      <w:r>
        <w:rPr>
          <w:rFonts w:hint="eastAsia" w:asciiTheme="minorEastAsia" w:hAnsiTheme="minorEastAsia" w:eastAsiaTheme="minorEastAsia" w:cstheme="minorEastAsia"/>
          <w:color w:val="auto"/>
          <w:kern w:val="0"/>
          <w:sz w:val="24"/>
          <w:szCs w:val="24"/>
          <w:highlight w:val="none"/>
          <w:lang w:val="en-US" w:eastAsia="zh-CN" w:bidi="ar"/>
        </w:rPr>
        <w:t>单位（部门）</w:t>
      </w:r>
      <w:r>
        <w:rPr>
          <w:rFonts w:hint="eastAsia" w:asciiTheme="minorEastAsia" w:hAnsiTheme="minorEastAsia" w:eastAsiaTheme="minorEastAsia" w:cstheme="minorEastAsia"/>
          <w:color w:val="auto"/>
          <w:kern w:val="0"/>
          <w:sz w:val="24"/>
          <w:szCs w:val="24"/>
          <w:highlight w:val="none"/>
          <w:lang w:bidi="ar"/>
        </w:rPr>
        <w:t>绩效目标</w:t>
      </w:r>
      <w:r>
        <w:rPr>
          <w:rFonts w:hint="eastAsia" w:asciiTheme="minorEastAsia" w:hAnsiTheme="minorEastAsia" w:eastAsiaTheme="minorEastAsia" w:cstheme="minorEastAsia"/>
          <w:color w:val="auto"/>
          <w:kern w:val="0"/>
          <w:sz w:val="24"/>
          <w:szCs w:val="24"/>
          <w:highlight w:val="none"/>
          <w:lang w:val="en-US" w:eastAsia="zh-CN" w:bidi="ar"/>
        </w:rPr>
        <w:t>管理水平</w:t>
      </w:r>
      <w:r>
        <w:rPr>
          <w:rFonts w:hint="eastAsia" w:asciiTheme="minorEastAsia" w:hAnsiTheme="minorEastAsia" w:eastAsiaTheme="minorEastAsia" w:cstheme="minorEastAsia"/>
          <w:color w:val="auto"/>
          <w:kern w:val="0"/>
          <w:sz w:val="24"/>
          <w:szCs w:val="24"/>
          <w:highlight w:val="none"/>
          <w:lang w:bidi="ar"/>
        </w:rPr>
        <w:t>，实现各部门整体绩效的高效管理。</w:t>
      </w:r>
    </w:p>
    <w:p>
      <w:pPr>
        <w:spacing w:before="183" w:beforeLines="50" w:after="183" w:afterLines="50" w:line="600" w:lineRule="exact"/>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十、绩效自评结果拟应用和公开情况</w:t>
      </w:r>
    </w:p>
    <w:p>
      <w:pPr>
        <w:spacing w:line="540" w:lineRule="exact"/>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2021年</w:t>
      </w:r>
      <w:r>
        <w:rPr>
          <w:rFonts w:hint="eastAsia" w:asciiTheme="minorEastAsia" w:hAnsiTheme="minorEastAsia" w:eastAsiaTheme="minorEastAsia" w:cstheme="minorEastAsia"/>
          <w:color w:val="auto"/>
          <w:sz w:val="24"/>
          <w:szCs w:val="24"/>
          <w:highlight w:val="none"/>
          <w:lang w:val="en-US" w:eastAsia="zh-CN"/>
        </w:rPr>
        <w:t>本局</w:t>
      </w:r>
      <w:r>
        <w:rPr>
          <w:rFonts w:hint="eastAsia" w:asciiTheme="minorEastAsia" w:hAnsiTheme="minorEastAsia" w:eastAsiaTheme="minorEastAsia" w:cstheme="minorEastAsia"/>
          <w:color w:val="auto"/>
          <w:sz w:val="24"/>
          <w:szCs w:val="24"/>
          <w:highlight w:val="none"/>
        </w:rPr>
        <w:t>进一步加大预算绩效管理力度，扎实开展预算绩效管理工作，将预算绩效自评结果作为改进预算管理和安排以后年度预算的重要依据。在</w:t>
      </w:r>
      <w:r>
        <w:rPr>
          <w:rFonts w:hint="eastAsia" w:asciiTheme="minorEastAsia" w:hAnsiTheme="minorEastAsia" w:eastAsiaTheme="minorEastAsia" w:cstheme="minorEastAsia"/>
          <w:color w:val="auto"/>
          <w:sz w:val="24"/>
          <w:szCs w:val="24"/>
          <w:highlight w:val="none"/>
          <w:lang w:val="en-US" w:eastAsia="zh-CN"/>
        </w:rPr>
        <w:t>2022年</w:t>
      </w:r>
      <w:r>
        <w:rPr>
          <w:rFonts w:hint="eastAsia" w:asciiTheme="minorEastAsia" w:hAnsiTheme="minorEastAsia" w:eastAsiaTheme="minorEastAsia" w:cstheme="minorEastAsia"/>
          <w:color w:val="auto"/>
          <w:sz w:val="24"/>
          <w:szCs w:val="24"/>
          <w:highlight w:val="none"/>
        </w:rPr>
        <w:t>编制预算时，不断完善绩效</w:t>
      </w:r>
      <w:r>
        <w:rPr>
          <w:rFonts w:hint="eastAsia" w:asciiTheme="minorEastAsia" w:hAnsiTheme="minorEastAsia" w:eastAsiaTheme="minorEastAsia" w:cstheme="minorEastAsia"/>
          <w:color w:val="auto"/>
          <w:sz w:val="24"/>
          <w:szCs w:val="24"/>
          <w:highlight w:val="none"/>
          <w:lang w:val="en-US" w:eastAsia="zh-CN"/>
        </w:rPr>
        <w:t>目标和绩效</w:t>
      </w:r>
      <w:r>
        <w:rPr>
          <w:rFonts w:hint="eastAsia" w:asciiTheme="minorEastAsia" w:hAnsiTheme="minorEastAsia" w:eastAsiaTheme="minorEastAsia" w:cstheme="minorEastAsia"/>
          <w:color w:val="auto"/>
          <w:sz w:val="24"/>
          <w:szCs w:val="24"/>
          <w:highlight w:val="none"/>
        </w:rPr>
        <w:t>评价指标，及时调整和优化我局以后年度预算支出的方向和结构，合理配置资源，加强财务管理，强化资金使用的监督检查和跟踪问效，进一步完善内部预算管理制度、内部财务管理制度和内部控制制度，切实提高本</w:t>
      </w:r>
      <w:r>
        <w:rPr>
          <w:rFonts w:hint="eastAsia" w:asciiTheme="minorEastAsia" w:hAnsiTheme="minorEastAsia" w:eastAsiaTheme="minorEastAsia" w:cstheme="minorEastAsia"/>
          <w:color w:val="auto"/>
          <w:sz w:val="24"/>
          <w:szCs w:val="24"/>
          <w:highlight w:val="none"/>
          <w:lang w:val="en-US" w:eastAsia="zh-CN"/>
        </w:rPr>
        <w:t>局的预算和绩效</w:t>
      </w:r>
      <w:r>
        <w:rPr>
          <w:rFonts w:hint="eastAsia" w:asciiTheme="minorEastAsia" w:hAnsiTheme="minorEastAsia" w:eastAsiaTheme="minorEastAsia" w:cstheme="minorEastAsia"/>
          <w:color w:val="auto"/>
          <w:sz w:val="24"/>
          <w:szCs w:val="24"/>
          <w:highlight w:val="none"/>
        </w:rPr>
        <w:t>管理水平</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提升</w:t>
      </w:r>
      <w:r>
        <w:rPr>
          <w:rFonts w:hint="eastAsia" w:asciiTheme="minorEastAsia" w:hAnsiTheme="minorEastAsia" w:eastAsiaTheme="minorEastAsia" w:cstheme="minorEastAsia"/>
          <w:color w:val="auto"/>
          <w:sz w:val="24"/>
          <w:szCs w:val="24"/>
          <w:highlight w:val="none"/>
        </w:rPr>
        <w:t>财政资金使用效益和部门工作效率。</w:t>
      </w:r>
      <w:r>
        <w:rPr>
          <w:rFonts w:hint="eastAsia" w:asciiTheme="minorEastAsia" w:hAnsiTheme="minorEastAsia" w:eastAsiaTheme="minorEastAsia" w:cstheme="minorEastAsia"/>
          <w:color w:val="auto"/>
          <w:sz w:val="24"/>
          <w:szCs w:val="24"/>
          <w:highlight w:val="none"/>
          <w:lang w:val="en-US" w:eastAsia="zh-CN"/>
        </w:rPr>
        <w:t>本局</w:t>
      </w:r>
      <w:r>
        <w:rPr>
          <w:rFonts w:hint="eastAsia" w:asciiTheme="minorEastAsia" w:hAnsiTheme="minorEastAsia" w:eastAsiaTheme="minorEastAsia" w:cstheme="minorEastAsia"/>
          <w:color w:val="auto"/>
          <w:sz w:val="24"/>
          <w:szCs w:val="24"/>
          <w:highlight w:val="none"/>
        </w:rPr>
        <w:t>将按照规定及时在本</w:t>
      </w:r>
      <w:r>
        <w:rPr>
          <w:rFonts w:hint="eastAsia" w:asciiTheme="minorEastAsia" w:hAnsiTheme="minorEastAsia" w:eastAsiaTheme="minorEastAsia" w:cstheme="minorEastAsia"/>
          <w:color w:val="auto"/>
          <w:sz w:val="24"/>
          <w:szCs w:val="24"/>
          <w:highlight w:val="none"/>
          <w:lang w:val="en-US" w:eastAsia="zh-CN"/>
        </w:rPr>
        <w:t>州级本部门</w:t>
      </w:r>
      <w:r>
        <w:rPr>
          <w:rFonts w:hint="eastAsia" w:asciiTheme="minorEastAsia" w:hAnsiTheme="minorEastAsia" w:eastAsiaTheme="minorEastAsia" w:cstheme="minorEastAsia"/>
          <w:color w:val="auto"/>
          <w:sz w:val="24"/>
          <w:szCs w:val="24"/>
          <w:highlight w:val="none"/>
        </w:rPr>
        <w:t>的门户网站政务信息公开栏目上及时公开本部门绩效自评结果，接受社会公众对本部门的监督。</w:t>
      </w:r>
    </w:p>
    <w:p>
      <w:pPr>
        <w:spacing w:before="183" w:beforeLines="50" w:after="183" w:afterLines="50" w:line="600" w:lineRule="exact"/>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十一、其他需要说明的问题</w:t>
      </w:r>
    </w:p>
    <w:p>
      <w:pPr>
        <w:widowControl/>
        <w:spacing w:before="183" w:beforeLines="50" w:line="580" w:lineRule="exact"/>
        <w:ind w:firstLine="480" w:firstLineChars="200"/>
        <w:outlineLvl w:val="0"/>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color w:val="FF0000"/>
          <w:sz w:val="24"/>
          <w:szCs w:val="24"/>
          <w:highlight w:val="none"/>
        </w:rPr>
        <w:t>无</w:t>
      </w:r>
    </w:p>
    <w:p>
      <w:pPr>
        <w:spacing w:line="540" w:lineRule="exact"/>
        <w:ind w:firstLine="480" w:firstLineChars="200"/>
        <w:rPr>
          <w:rFonts w:hint="eastAsia" w:asciiTheme="minorEastAsia" w:hAnsiTheme="minorEastAsia" w:eastAsiaTheme="minorEastAsia" w:cstheme="minorEastAsia"/>
          <w:color w:val="auto"/>
          <w:sz w:val="24"/>
          <w:szCs w:val="24"/>
          <w:highlight w:val="none"/>
        </w:rPr>
      </w:pPr>
    </w:p>
    <w:p>
      <w:pPr>
        <w:spacing w:line="540" w:lineRule="exact"/>
        <w:ind w:firstLine="480" w:firstLineChars="20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附件</w:t>
      </w:r>
      <w:r>
        <w:rPr>
          <w:rFonts w:hint="eastAsia" w:asciiTheme="minorEastAsia" w:hAnsiTheme="minorEastAsia" w:eastAsiaTheme="minorEastAsia" w:cstheme="minorEastAsia"/>
          <w:color w:val="auto"/>
          <w:sz w:val="24"/>
          <w:szCs w:val="24"/>
          <w:highlight w:val="none"/>
          <w:lang w:val="en-US" w:eastAsia="zh-CN"/>
        </w:rPr>
        <w:t>如</w:t>
      </w:r>
      <w:r>
        <w:rPr>
          <w:rFonts w:hint="eastAsia" w:asciiTheme="minorEastAsia" w:hAnsiTheme="minorEastAsia" w:eastAsiaTheme="minorEastAsia" w:cstheme="minorEastAsia"/>
          <w:color w:val="auto"/>
          <w:sz w:val="24"/>
          <w:szCs w:val="24"/>
          <w:highlight w:val="none"/>
        </w:rPr>
        <w:t>下：</w:t>
      </w:r>
    </w:p>
    <w:p>
      <w:pPr>
        <w:spacing w:line="540" w:lineRule="exact"/>
        <w:ind w:firstLine="480" w:firstLineChars="20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附件1、州级预算部门整体支出绩效评价基础数据表</w:t>
      </w:r>
    </w:p>
    <w:p>
      <w:pPr>
        <w:spacing w:line="540" w:lineRule="exact"/>
        <w:ind w:firstLine="480" w:firstLineChars="20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附件2、2021年度州级预算部门整体支出绩效自评表</w:t>
      </w:r>
    </w:p>
    <w:p>
      <w:pPr>
        <w:spacing w:line="540" w:lineRule="exact"/>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附件3、关于开展2021年度州直预算部门整体支出绩效自评的通知</w:t>
      </w:r>
    </w:p>
    <w:p>
      <w:pPr>
        <w:widowControl/>
        <w:spacing w:before="183" w:beforeLines="50" w:line="580" w:lineRule="exact"/>
        <w:outlineLvl w:val="0"/>
        <w:rPr>
          <w:rFonts w:hint="eastAsia" w:asciiTheme="minorEastAsia" w:hAnsiTheme="minorEastAsia" w:eastAsiaTheme="minorEastAsia" w:cstheme="minorEastAsia"/>
          <w:color w:val="auto"/>
          <w:sz w:val="24"/>
          <w:szCs w:val="24"/>
          <w:highlight w:val="none"/>
        </w:rPr>
      </w:pPr>
    </w:p>
    <w:p>
      <w:pPr>
        <w:widowControl/>
        <w:spacing w:before="183" w:beforeLines="50" w:line="580" w:lineRule="exact"/>
        <w:ind w:firstLine="3600" w:firstLineChars="1500"/>
        <w:outlineLvl w:val="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湘西土家族苗族自治州工业和信息化局</w:t>
      </w:r>
    </w:p>
    <w:p>
      <w:pPr>
        <w:widowControl/>
        <w:spacing w:before="183" w:beforeLines="50" w:line="580" w:lineRule="exact"/>
        <w:ind w:firstLine="4560" w:firstLineChars="1900"/>
        <w:outlineLvl w:val="0"/>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二0二二年六月</w:t>
      </w:r>
    </w:p>
    <w:p>
      <w:pPr>
        <w:widowControl/>
        <w:spacing w:before="183" w:beforeLines="50" w:line="580" w:lineRule="exact"/>
        <w:outlineLvl w:val="0"/>
        <w:rPr>
          <w:rFonts w:hint="eastAsia" w:asciiTheme="minorEastAsia" w:hAnsiTheme="minorEastAsia" w:eastAsiaTheme="minorEastAsia" w:cstheme="minorEastAsia"/>
          <w:color w:val="auto"/>
          <w:sz w:val="24"/>
          <w:szCs w:val="24"/>
          <w:highlight w:val="none"/>
        </w:rPr>
      </w:pPr>
    </w:p>
    <w:p>
      <w:pPr>
        <w:widowControl/>
        <w:spacing w:before="183" w:beforeLines="50" w:line="580" w:lineRule="exact"/>
        <w:outlineLvl w:val="0"/>
        <w:rPr>
          <w:rFonts w:hint="eastAsia" w:asciiTheme="minorEastAsia" w:hAnsiTheme="minorEastAsia" w:eastAsiaTheme="minorEastAsia" w:cstheme="minorEastAsia"/>
          <w:color w:val="auto"/>
          <w:sz w:val="24"/>
          <w:szCs w:val="24"/>
          <w:highlight w:val="none"/>
        </w:rPr>
      </w:pPr>
    </w:p>
    <w:p>
      <w:pPr>
        <w:widowControl/>
        <w:spacing w:before="183" w:beforeLines="50" w:line="580" w:lineRule="exact"/>
        <w:outlineLvl w:val="0"/>
        <w:rPr>
          <w:rFonts w:hint="eastAsia" w:asciiTheme="minorEastAsia" w:hAnsiTheme="minorEastAsia" w:eastAsiaTheme="minorEastAsia" w:cstheme="minorEastAsia"/>
          <w:color w:val="auto"/>
          <w:sz w:val="24"/>
          <w:szCs w:val="24"/>
          <w:highlight w:val="none"/>
        </w:rPr>
      </w:pPr>
    </w:p>
    <w:p>
      <w:pPr>
        <w:widowControl/>
        <w:spacing w:before="183" w:beforeLines="50" w:line="580" w:lineRule="exact"/>
        <w:outlineLvl w:val="0"/>
        <w:rPr>
          <w:rFonts w:hint="eastAsia" w:asciiTheme="minorEastAsia" w:hAnsiTheme="minorEastAsia" w:eastAsiaTheme="minorEastAsia" w:cstheme="minorEastAsia"/>
          <w:color w:val="auto"/>
          <w:sz w:val="24"/>
          <w:szCs w:val="24"/>
          <w:highlight w:val="none"/>
        </w:rPr>
      </w:pPr>
    </w:p>
    <w:p>
      <w:pPr>
        <w:widowControl/>
        <w:spacing w:before="183" w:beforeLines="50" w:line="580" w:lineRule="exact"/>
        <w:outlineLvl w:val="0"/>
        <w:rPr>
          <w:rFonts w:hint="eastAsia" w:asciiTheme="minorEastAsia" w:hAnsiTheme="minorEastAsia" w:eastAsiaTheme="minorEastAsia" w:cstheme="minorEastAsia"/>
          <w:color w:val="auto"/>
          <w:sz w:val="24"/>
          <w:szCs w:val="24"/>
          <w:highlight w:val="none"/>
        </w:rPr>
      </w:pPr>
    </w:p>
    <w:p>
      <w:pPr>
        <w:widowControl/>
        <w:spacing w:before="183" w:beforeLines="50" w:line="580" w:lineRule="exact"/>
        <w:outlineLvl w:val="0"/>
        <w:rPr>
          <w:rFonts w:hint="eastAsia" w:asciiTheme="minorEastAsia" w:hAnsiTheme="minorEastAsia" w:eastAsiaTheme="minorEastAsia" w:cstheme="minorEastAsia"/>
          <w:color w:val="auto"/>
          <w:sz w:val="24"/>
          <w:szCs w:val="24"/>
          <w:highlight w:val="none"/>
        </w:rPr>
      </w:pPr>
    </w:p>
    <w:p>
      <w:pPr>
        <w:widowControl/>
        <w:spacing w:before="183" w:beforeLines="50" w:line="580" w:lineRule="exact"/>
        <w:outlineLvl w:val="0"/>
        <w:rPr>
          <w:rFonts w:hint="eastAsia" w:asciiTheme="minorEastAsia" w:hAnsiTheme="minorEastAsia" w:eastAsiaTheme="minorEastAsia" w:cstheme="minorEastAsia"/>
          <w:color w:val="auto"/>
          <w:sz w:val="24"/>
          <w:szCs w:val="24"/>
          <w:highlight w:val="none"/>
        </w:rPr>
      </w:pPr>
    </w:p>
    <w:p>
      <w:pPr>
        <w:widowControl/>
        <w:spacing w:before="183" w:beforeLines="50" w:line="580" w:lineRule="exact"/>
        <w:outlineLvl w:val="0"/>
        <w:rPr>
          <w:rFonts w:hint="eastAsia" w:asciiTheme="minorEastAsia" w:hAnsiTheme="minorEastAsia" w:eastAsiaTheme="minorEastAsia" w:cstheme="minorEastAsia"/>
          <w:color w:val="auto"/>
          <w:sz w:val="24"/>
          <w:szCs w:val="24"/>
          <w:highlight w:val="none"/>
        </w:rPr>
      </w:pPr>
    </w:p>
    <w:p>
      <w:pPr>
        <w:widowControl/>
        <w:spacing w:before="183" w:beforeLines="50" w:line="580" w:lineRule="exact"/>
        <w:outlineLvl w:val="0"/>
        <w:rPr>
          <w:rFonts w:hint="eastAsia" w:asciiTheme="minorEastAsia" w:hAnsiTheme="minorEastAsia" w:eastAsiaTheme="minorEastAsia" w:cstheme="minorEastAsia"/>
          <w:color w:val="auto"/>
          <w:sz w:val="24"/>
          <w:szCs w:val="24"/>
          <w:highlight w:val="none"/>
        </w:rPr>
      </w:pPr>
    </w:p>
    <w:p>
      <w:pPr>
        <w:widowControl/>
        <w:spacing w:before="183" w:beforeLines="50" w:line="580" w:lineRule="exact"/>
        <w:outlineLvl w:val="0"/>
        <w:rPr>
          <w:rFonts w:hint="eastAsia" w:asciiTheme="minorEastAsia" w:hAnsiTheme="minorEastAsia" w:eastAsiaTheme="minorEastAsia" w:cstheme="minorEastAsia"/>
          <w:color w:val="auto"/>
          <w:sz w:val="24"/>
          <w:szCs w:val="24"/>
          <w:highlight w:val="none"/>
        </w:rPr>
      </w:pPr>
    </w:p>
    <w:p>
      <w:pPr>
        <w:widowControl/>
        <w:spacing w:before="183" w:beforeLines="50" w:line="580" w:lineRule="exact"/>
        <w:outlineLvl w:val="0"/>
        <w:rPr>
          <w:rFonts w:hint="eastAsia" w:asciiTheme="minorEastAsia" w:hAnsiTheme="minorEastAsia" w:eastAsiaTheme="minorEastAsia" w:cstheme="minorEastAsia"/>
          <w:color w:val="auto"/>
          <w:sz w:val="24"/>
          <w:szCs w:val="24"/>
          <w:highlight w:val="none"/>
        </w:rPr>
      </w:pPr>
    </w:p>
    <w:p>
      <w:pPr>
        <w:ind w:firstLine="9600" w:firstLineChars="4000"/>
        <w:jc w:val="left"/>
        <w:rPr>
          <w:rFonts w:hint="eastAsia"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rPr>
        <w:t xml:space="preserve">         </w:t>
      </w:r>
      <w:r>
        <w:rPr>
          <w:rFonts w:hint="eastAsia" w:asciiTheme="minorEastAsia" w:hAnsiTheme="minorEastAsia" w:eastAsiaTheme="minorEastAsia" w:cstheme="minorEastAsia"/>
          <w:b/>
          <w:bCs/>
          <w:color w:val="auto"/>
          <w:sz w:val="24"/>
          <w:szCs w:val="24"/>
          <w:highlight w:val="none"/>
        </w:rPr>
        <w:t>附件</w:t>
      </w:r>
      <w:r>
        <w:rPr>
          <w:rFonts w:hint="eastAsia" w:asciiTheme="minorEastAsia" w:hAnsiTheme="minorEastAsia" w:eastAsiaTheme="minorEastAsia" w:cstheme="minorEastAsia"/>
          <w:b/>
          <w:bCs/>
          <w:color w:val="auto"/>
          <w:sz w:val="24"/>
          <w:szCs w:val="24"/>
          <w:highlight w:val="none"/>
          <w:lang w:val="en-US" w:eastAsia="zh-CN"/>
        </w:rPr>
        <w:t xml:space="preserve">1 </w:t>
      </w:r>
    </w:p>
    <w:p>
      <w:pPr>
        <w:spacing w:before="156" w:beforeLines="50" w:line="400" w:lineRule="exact"/>
        <w:jc w:val="center"/>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州级预算部门整体支出绩效评价基础数据表</w:t>
      </w:r>
    </w:p>
    <w:tbl>
      <w:tblPr>
        <w:tblStyle w:val="8"/>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40"/>
        <w:gridCol w:w="963"/>
        <w:gridCol w:w="1156"/>
        <w:gridCol w:w="1111"/>
        <w:gridCol w:w="1585"/>
        <w:gridCol w:w="740"/>
        <w:gridCol w:w="11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40" w:type="dxa"/>
            <w:vMerge w:val="restart"/>
            <w:vAlign w:val="center"/>
          </w:tcPr>
          <w:p>
            <w:pPr>
              <w:spacing w:line="30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财政供养人员情况</w:t>
            </w:r>
          </w:p>
        </w:tc>
        <w:tc>
          <w:tcPr>
            <w:tcW w:w="2119"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202</w:t>
            </w: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rPr>
              <w:t>年末编制数</w:t>
            </w:r>
          </w:p>
        </w:tc>
        <w:tc>
          <w:tcPr>
            <w:tcW w:w="2696"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202</w:t>
            </w: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rPr>
              <w:t>年末实际在职人数</w:t>
            </w:r>
          </w:p>
        </w:tc>
        <w:tc>
          <w:tcPr>
            <w:tcW w:w="1883"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控制率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40" w:type="dxa"/>
            <w:vMerge w:val="continue"/>
            <w:vAlign w:val="center"/>
          </w:tcPr>
          <w:p>
            <w:pPr>
              <w:spacing w:line="300" w:lineRule="exact"/>
              <w:jc w:val="left"/>
              <w:rPr>
                <w:rFonts w:hint="eastAsia" w:asciiTheme="minorEastAsia" w:hAnsiTheme="minorEastAsia" w:eastAsiaTheme="minorEastAsia" w:cstheme="minorEastAsia"/>
                <w:b/>
                <w:bCs/>
                <w:color w:val="auto"/>
                <w:sz w:val="21"/>
                <w:szCs w:val="21"/>
                <w:highlight w:val="none"/>
              </w:rPr>
            </w:pPr>
          </w:p>
        </w:tc>
        <w:tc>
          <w:tcPr>
            <w:tcW w:w="2119" w:type="dxa"/>
            <w:gridSpan w:val="2"/>
            <w:vAlign w:val="center"/>
          </w:tcPr>
          <w:p>
            <w:pPr>
              <w:spacing w:line="3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91</w:t>
            </w:r>
          </w:p>
        </w:tc>
        <w:tc>
          <w:tcPr>
            <w:tcW w:w="2696"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87</w:t>
            </w:r>
          </w:p>
        </w:tc>
        <w:tc>
          <w:tcPr>
            <w:tcW w:w="1883"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shd w:val="clear" w:color="FFFFFF" w:fill="D9D9D9"/>
                <w:lang w:val="en-US" w:eastAsia="zh-CN"/>
              </w:rPr>
              <w:t>95.6</w:t>
            </w:r>
            <w:r>
              <w:rPr>
                <w:rFonts w:hint="eastAsia" w:asciiTheme="minorEastAsia" w:hAnsiTheme="minorEastAsia" w:eastAsiaTheme="minorEastAsia" w:cstheme="minorEastAsia"/>
                <w:color w:val="auto"/>
                <w:sz w:val="21"/>
                <w:szCs w:val="21"/>
                <w:highlight w:val="none"/>
                <w:shd w:val="clear" w:color="FFFFFF" w:fill="D9D9D9"/>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2940" w:type="dxa"/>
            <w:vAlign w:val="center"/>
          </w:tcPr>
          <w:p>
            <w:pPr>
              <w:spacing w:line="30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经费控制情况</w:t>
            </w:r>
          </w:p>
        </w:tc>
        <w:tc>
          <w:tcPr>
            <w:tcW w:w="2119"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20</w:t>
            </w:r>
            <w:r>
              <w:rPr>
                <w:rFonts w:hint="eastAsia" w:asciiTheme="minorEastAsia" w:hAnsiTheme="minorEastAsia" w:eastAsiaTheme="minorEastAsia" w:cstheme="minorEastAsia"/>
                <w:color w:val="auto"/>
                <w:sz w:val="21"/>
                <w:szCs w:val="21"/>
                <w:highlight w:val="none"/>
                <w:lang w:val="en-US" w:eastAsia="zh-CN"/>
              </w:rPr>
              <w:t>20</w:t>
            </w:r>
            <w:r>
              <w:rPr>
                <w:rFonts w:hint="eastAsia" w:asciiTheme="minorEastAsia" w:hAnsiTheme="minorEastAsia" w:eastAsiaTheme="minorEastAsia" w:cstheme="minorEastAsia"/>
                <w:color w:val="auto"/>
                <w:sz w:val="21"/>
                <w:szCs w:val="21"/>
                <w:highlight w:val="none"/>
              </w:rPr>
              <w:t>年决算数</w:t>
            </w:r>
          </w:p>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（万元）</w:t>
            </w:r>
          </w:p>
        </w:tc>
        <w:tc>
          <w:tcPr>
            <w:tcW w:w="2696"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202</w:t>
            </w: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rPr>
              <w:t>年预算数</w:t>
            </w:r>
          </w:p>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（万元）</w:t>
            </w:r>
          </w:p>
        </w:tc>
        <w:tc>
          <w:tcPr>
            <w:tcW w:w="1883"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202</w:t>
            </w: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rPr>
              <w:t>年决算数</w:t>
            </w:r>
          </w:p>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940" w:type="dxa"/>
            <w:vAlign w:val="center"/>
          </w:tcPr>
          <w:p>
            <w:pPr>
              <w:spacing w:line="300" w:lineRule="exact"/>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bCs/>
                <w:color w:val="auto"/>
                <w:sz w:val="21"/>
                <w:szCs w:val="21"/>
                <w:highlight w:val="none"/>
              </w:rPr>
              <w:t>一、三公经费</w:t>
            </w:r>
          </w:p>
        </w:tc>
        <w:tc>
          <w:tcPr>
            <w:tcW w:w="2119" w:type="dxa"/>
            <w:gridSpan w:val="2"/>
            <w:vAlign w:val="center"/>
          </w:tcPr>
          <w:p>
            <w:pPr>
              <w:widowControl/>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16.94</w:t>
            </w:r>
          </w:p>
        </w:tc>
        <w:tc>
          <w:tcPr>
            <w:tcW w:w="2696" w:type="dxa"/>
            <w:gridSpan w:val="2"/>
            <w:vAlign w:val="center"/>
          </w:tcPr>
          <w:p>
            <w:pPr>
              <w:widowControl/>
              <w:jc w:val="center"/>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70.60</w:t>
            </w:r>
          </w:p>
        </w:tc>
        <w:tc>
          <w:tcPr>
            <w:tcW w:w="1883" w:type="dxa"/>
            <w:gridSpan w:val="2"/>
            <w:vAlign w:val="center"/>
          </w:tcPr>
          <w:p>
            <w:pPr>
              <w:widowControl/>
              <w:jc w:val="center"/>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14.02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2940" w:type="dxa"/>
            <w:vAlign w:val="center"/>
          </w:tcPr>
          <w:p>
            <w:pPr>
              <w:spacing w:line="300" w:lineRule="exact"/>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 1、公务用车购置和运行维护费</w:t>
            </w:r>
          </w:p>
        </w:tc>
        <w:tc>
          <w:tcPr>
            <w:tcW w:w="2119" w:type="dxa"/>
            <w:gridSpan w:val="2"/>
            <w:vAlign w:val="center"/>
          </w:tcPr>
          <w:p>
            <w:pPr>
              <w:widowControl/>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13.62</w:t>
            </w:r>
          </w:p>
        </w:tc>
        <w:tc>
          <w:tcPr>
            <w:tcW w:w="2696" w:type="dxa"/>
            <w:gridSpan w:val="2"/>
            <w:vAlign w:val="center"/>
          </w:tcPr>
          <w:p>
            <w:pPr>
              <w:widowControl/>
              <w:jc w:val="center"/>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32.30</w:t>
            </w:r>
          </w:p>
        </w:tc>
        <w:tc>
          <w:tcPr>
            <w:tcW w:w="1883" w:type="dxa"/>
            <w:gridSpan w:val="2"/>
            <w:vAlign w:val="center"/>
          </w:tcPr>
          <w:p>
            <w:pPr>
              <w:widowControl/>
              <w:jc w:val="center"/>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11.50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2940" w:type="dxa"/>
            <w:vAlign w:val="center"/>
          </w:tcPr>
          <w:p>
            <w:pPr>
              <w:spacing w:line="300" w:lineRule="exact"/>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 其中：公务用车购置费</w:t>
            </w:r>
          </w:p>
        </w:tc>
        <w:tc>
          <w:tcPr>
            <w:tcW w:w="2119"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0</w:t>
            </w:r>
          </w:p>
        </w:tc>
        <w:tc>
          <w:tcPr>
            <w:tcW w:w="2696"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c>
          <w:tcPr>
            <w:tcW w:w="1883"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940" w:type="dxa"/>
            <w:vAlign w:val="center"/>
          </w:tcPr>
          <w:p>
            <w:pPr>
              <w:spacing w:line="300" w:lineRule="exact"/>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       公务用车运行维护费</w:t>
            </w:r>
          </w:p>
        </w:tc>
        <w:tc>
          <w:tcPr>
            <w:tcW w:w="2119" w:type="dxa"/>
            <w:gridSpan w:val="2"/>
            <w:vAlign w:val="center"/>
          </w:tcPr>
          <w:p>
            <w:pPr>
              <w:widowControl/>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13.62</w:t>
            </w:r>
          </w:p>
        </w:tc>
        <w:tc>
          <w:tcPr>
            <w:tcW w:w="2696" w:type="dxa"/>
            <w:gridSpan w:val="2"/>
            <w:vAlign w:val="center"/>
          </w:tcPr>
          <w:p>
            <w:pPr>
              <w:widowControl/>
              <w:jc w:val="center"/>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32.30</w:t>
            </w:r>
          </w:p>
        </w:tc>
        <w:tc>
          <w:tcPr>
            <w:tcW w:w="1883" w:type="dxa"/>
            <w:gridSpan w:val="2"/>
            <w:vAlign w:val="center"/>
          </w:tcPr>
          <w:p>
            <w:pPr>
              <w:widowControl/>
              <w:jc w:val="center"/>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11.50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2940" w:type="dxa"/>
            <w:vAlign w:val="center"/>
          </w:tcPr>
          <w:p>
            <w:pPr>
              <w:spacing w:line="300" w:lineRule="exact"/>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 2、因公出国（境）费用</w:t>
            </w:r>
          </w:p>
        </w:tc>
        <w:tc>
          <w:tcPr>
            <w:tcW w:w="2119"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0　</w:t>
            </w:r>
          </w:p>
        </w:tc>
        <w:tc>
          <w:tcPr>
            <w:tcW w:w="2696"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c>
          <w:tcPr>
            <w:tcW w:w="1883"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2940" w:type="dxa"/>
            <w:vAlign w:val="center"/>
          </w:tcPr>
          <w:p>
            <w:pPr>
              <w:spacing w:line="300" w:lineRule="exact"/>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 3、公务接待费</w:t>
            </w:r>
          </w:p>
        </w:tc>
        <w:tc>
          <w:tcPr>
            <w:tcW w:w="2119" w:type="dxa"/>
            <w:gridSpan w:val="2"/>
            <w:vAlign w:val="center"/>
          </w:tcPr>
          <w:p>
            <w:pPr>
              <w:widowControl/>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3.32</w:t>
            </w:r>
          </w:p>
        </w:tc>
        <w:tc>
          <w:tcPr>
            <w:tcW w:w="2696" w:type="dxa"/>
            <w:gridSpan w:val="2"/>
            <w:vAlign w:val="center"/>
          </w:tcPr>
          <w:p>
            <w:pPr>
              <w:widowControl/>
              <w:jc w:val="center"/>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38.30</w:t>
            </w:r>
          </w:p>
        </w:tc>
        <w:tc>
          <w:tcPr>
            <w:tcW w:w="1883" w:type="dxa"/>
            <w:gridSpan w:val="2"/>
            <w:vAlign w:val="center"/>
          </w:tcPr>
          <w:p>
            <w:pPr>
              <w:widowControl/>
              <w:jc w:val="center"/>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2.52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2940" w:type="dxa"/>
            <w:vAlign w:val="center"/>
          </w:tcPr>
          <w:p>
            <w:pPr>
              <w:spacing w:line="300" w:lineRule="exact"/>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bCs/>
                <w:color w:val="auto"/>
                <w:sz w:val="21"/>
                <w:szCs w:val="21"/>
                <w:highlight w:val="none"/>
              </w:rPr>
              <w:t>二、项目支出</w:t>
            </w:r>
          </w:p>
        </w:tc>
        <w:tc>
          <w:tcPr>
            <w:tcW w:w="2119"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5435.55</w:t>
            </w:r>
          </w:p>
        </w:tc>
        <w:tc>
          <w:tcPr>
            <w:tcW w:w="2696" w:type="dxa"/>
            <w:gridSpan w:val="2"/>
            <w:vAlign w:val="center"/>
          </w:tcPr>
          <w:p>
            <w:pPr>
              <w:spacing w:line="3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4530.63</w:t>
            </w:r>
          </w:p>
        </w:tc>
        <w:tc>
          <w:tcPr>
            <w:tcW w:w="1883" w:type="dxa"/>
            <w:gridSpan w:val="2"/>
            <w:vAlign w:val="center"/>
          </w:tcPr>
          <w:p>
            <w:pPr>
              <w:spacing w:line="3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4078.15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2940" w:type="dxa"/>
            <w:vAlign w:val="center"/>
          </w:tcPr>
          <w:p>
            <w:pPr>
              <w:spacing w:line="300" w:lineRule="exact"/>
              <w:ind w:firstLine="210" w:firstLineChars="100"/>
              <w:jc w:val="left"/>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其中：</w:t>
            </w:r>
            <w:r>
              <w:rPr>
                <w:rFonts w:hint="eastAsia" w:asciiTheme="minorEastAsia" w:hAnsiTheme="minorEastAsia" w:eastAsiaTheme="minorEastAsia" w:cstheme="minorEastAsia"/>
                <w:color w:val="auto"/>
                <w:sz w:val="21"/>
                <w:szCs w:val="21"/>
                <w:highlight w:val="none"/>
                <w:lang w:val="en-US" w:eastAsia="zh-CN"/>
              </w:rPr>
              <w:t>工业发展资金</w:t>
            </w:r>
          </w:p>
        </w:tc>
        <w:tc>
          <w:tcPr>
            <w:tcW w:w="2119" w:type="dxa"/>
            <w:gridSpan w:val="2"/>
            <w:vAlign w:val="center"/>
          </w:tcPr>
          <w:p>
            <w:pPr>
              <w:spacing w:line="3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2000.00</w:t>
            </w:r>
          </w:p>
        </w:tc>
        <w:tc>
          <w:tcPr>
            <w:tcW w:w="2696" w:type="dxa"/>
            <w:gridSpan w:val="2"/>
            <w:vAlign w:val="center"/>
          </w:tcPr>
          <w:p>
            <w:pPr>
              <w:spacing w:line="3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2000.00</w:t>
            </w:r>
          </w:p>
        </w:tc>
        <w:tc>
          <w:tcPr>
            <w:tcW w:w="1883" w:type="dxa"/>
            <w:gridSpan w:val="2"/>
            <w:vAlign w:val="center"/>
          </w:tcPr>
          <w:p>
            <w:pPr>
              <w:spacing w:line="3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1960.00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2940" w:type="dxa"/>
            <w:vAlign w:val="center"/>
          </w:tcPr>
          <w:p>
            <w:pPr>
              <w:spacing w:line="300" w:lineRule="exact"/>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bCs/>
                <w:color w:val="auto"/>
                <w:sz w:val="21"/>
                <w:szCs w:val="21"/>
                <w:highlight w:val="none"/>
              </w:rPr>
              <w:t>三、公用经费</w:t>
            </w:r>
          </w:p>
        </w:tc>
        <w:tc>
          <w:tcPr>
            <w:tcW w:w="2119"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373.72</w:t>
            </w:r>
          </w:p>
        </w:tc>
        <w:tc>
          <w:tcPr>
            <w:tcW w:w="2696" w:type="dxa"/>
            <w:gridSpan w:val="2"/>
            <w:vAlign w:val="center"/>
          </w:tcPr>
          <w:p>
            <w:pPr>
              <w:spacing w:line="3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287.37</w:t>
            </w:r>
          </w:p>
        </w:tc>
        <w:tc>
          <w:tcPr>
            <w:tcW w:w="1883" w:type="dxa"/>
            <w:gridSpan w:val="2"/>
            <w:vAlign w:val="center"/>
          </w:tcPr>
          <w:p>
            <w:pPr>
              <w:spacing w:line="3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370.14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2940" w:type="dxa"/>
            <w:vAlign w:val="center"/>
          </w:tcPr>
          <w:p>
            <w:pPr>
              <w:spacing w:line="300" w:lineRule="exact"/>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  其中：办公费</w:t>
            </w:r>
          </w:p>
        </w:tc>
        <w:tc>
          <w:tcPr>
            <w:tcW w:w="2119"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19.74</w:t>
            </w:r>
          </w:p>
        </w:tc>
        <w:tc>
          <w:tcPr>
            <w:tcW w:w="2696"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1883" w:type="dxa"/>
            <w:gridSpan w:val="2"/>
            <w:vAlign w:val="center"/>
          </w:tcPr>
          <w:p>
            <w:pPr>
              <w:spacing w:line="3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2940" w:type="dxa"/>
            <w:vAlign w:val="center"/>
          </w:tcPr>
          <w:p>
            <w:pPr>
              <w:spacing w:line="300" w:lineRule="exact"/>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        印刷费</w:t>
            </w:r>
          </w:p>
        </w:tc>
        <w:tc>
          <w:tcPr>
            <w:tcW w:w="2119"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2.44</w:t>
            </w:r>
          </w:p>
        </w:tc>
        <w:tc>
          <w:tcPr>
            <w:tcW w:w="2696"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1883" w:type="dxa"/>
            <w:gridSpan w:val="2"/>
            <w:vAlign w:val="center"/>
          </w:tcPr>
          <w:p>
            <w:pPr>
              <w:spacing w:line="3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19.70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2940" w:type="dxa"/>
            <w:vAlign w:val="center"/>
          </w:tcPr>
          <w:p>
            <w:pPr>
              <w:spacing w:line="300" w:lineRule="exact"/>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        咨询费</w:t>
            </w:r>
          </w:p>
        </w:tc>
        <w:tc>
          <w:tcPr>
            <w:tcW w:w="2119"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0.38</w:t>
            </w:r>
          </w:p>
        </w:tc>
        <w:tc>
          <w:tcPr>
            <w:tcW w:w="2696"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1883" w:type="dxa"/>
            <w:gridSpan w:val="2"/>
            <w:vAlign w:val="center"/>
          </w:tcPr>
          <w:p>
            <w:pPr>
              <w:spacing w:line="3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2940" w:type="dxa"/>
            <w:vAlign w:val="center"/>
          </w:tcPr>
          <w:p>
            <w:pPr>
              <w:spacing w:line="300" w:lineRule="exact"/>
              <w:ind w:firstLine="840" w:firstLineChars="4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手续费 </w:t>
            </w:r>
          </w:p>
        </w:tc>
        <w:tc>
          <w:tcPr>
            <w:tcW w:w="2119"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0.4</w:t>
            </w:r>
          </w:p>
        </w:tc>
        <w:tc>
          <w:tcPr>
            <w:tcW w:w="2696"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1883" w:type="dxa"/>
            <w:gridSpan w:val="2"/>
            <w:vAlign w:val="center"/>
          </w:tcPr>
          <w:p>
            <w:pPr>
              <w:spacing w:line="3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2940" w:type="dxa"/>
            <w:vAlign w:val="center"/>
          </w:tcPr>
          <w:p>
            <w:pPr>
              <w:spacing w:line="300" w:lineRule="exact"/>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        水费、电费</w:t>
            </w:r>
          </w:p>
        </w:tc>
        <w:tc>
          <w:tcPr>
            <w:tcW w:w="2119"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7.9</w:t>
            </w:r>
          </w:p>
        </w:tc>
        <w:tc>
          <w:tcPr>
            <w:tcW w:w="2696"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1883" w:type="dxa"/>
            <w:gridSpan w:val="2"/>
            <w:vAlign w:val="center"/>
          </w:tcPr>
          <w:p>
            <w:pPr>
              <w:spacing w:line="3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8.76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2940" w:type="dxa"/>
            <w:vAlign w:val="center"/>
          </w:tcPr>
          <w:p>
            <w:pPr>
              <w:spacing w:line="300" w:lineRule="exact"/>
              <w:ind w:firstLine="840" w:firstLineChars="4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邮电费</w:t>
            </w:r>
          </w:p>
        </w:tc>
        <w:tc>
          <w:tcPr>
            <w:tcW w:w="2119"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1.67</w:t>
            </w:r>
          </w:p>
        </w:tc>
        <w:tc>
          <w:tcPr>
            <w:tcW w:w="2696"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1883" w:type="dxa"/>
            <w:gridSpan w:val="2"/>
            <w:vAlign w:val="center"/>
          </w:tcPr>
          <w:p>
            <w:pPr>
              <w:spacing w:line="3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2940" w:type="dxa"/>
            <w:vAlign w:val="center"/>
          </w:tcPr>
          <w:p>
            <w:pPr>
              <w:spacing w:line="300" w:lineRule="exact"/>
              <w:ind w:firstLine="840" w:firstLineChars="4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Cs/>
                <w:color w:val="auto"/>
                <w:sz w:val="21"/>
                <w:szCs w:val="21"/>
                <w:highlight w:val="none"/>
              </w:rPr>
              <w:t>物业管理费</w:t>
            </w:r>
          </w:p>
        </w:tc>
        <w:tc>
          <w:tcPr>
            <w:tcW w:w="2119"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2696"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1883"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2940" w:type="dxa"/>
            <w:vAlign w:val="center"/>
          </w:tcPr>
          <w:p>
            <w:pPr>
              <w:spacing w:line="300" w:lineRule="exact"/>
              <w:ind w:firstLine="840" w:firstLineChars="4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差旅费</w:t>
            </w:r>
          </w:p>
        </w:tc>
        <w:tc>
          <w:tcPr>
            <w:tcW w:w="2119"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30.77</w:t>
            </w:r>
          </w:p>
        </w:tc>
        <w:tc>
          <w:tcPr>
            <w:tcW w:w="2696"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1883" w:type="dxa"/>
            <w:gridSpan w:val="2"/>
            <w:vAlign w:val="center"/>
          </w:tcPr>
          <w:p>
            <w:pPr>
              <w:spacing w:line="3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2940" w:type="dxa"/>
            <w:vAlign w:val="center"/>
          </w:tcPr>
          <w:p>
            <w:pPr>
              <w:spacing w:line="300" w:lineRule="exact"/>
              <w:ind w:firstLine="840" w:firstLineChars="4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维护费</w:t>
            </w:r>
          </w:p>
        </w:tc>
        <w:tc>
          <w:tcPr>
            <w:tcW w:w="2119"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5.56</w:t>
            </w:r>
          </w:p>
        </w:tc>
        <w:tc>
          <w:tcPr>
            <w:tcW w:w="2696"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1883" w:type="dxa"/>
            <w:gridSpan w:val="2"/>
            <w:vAlign w:val="center"/>
          </w:tcPr>
          <w:p>
            <w:pPr>
              <w:spacing w:line="3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6.79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2940" w:type="dxa"/>
            <w:vAlign w:val="center"/>
          </w:tcPr>
          <w:p>
            <w:pPr>
              <w:spacing w:line="300" w:lineRule="exact"/>
              <w:ind w:firstLine="840" w:firstLineChars="4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会议费</w:t>
            </w:r>
          </w:p>
        </w:tc>
        <w:tc>
          <w:tcPr>
            <w:tcW w:w="2119"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3.05</w:t>
            </w:r>
          </w:p>
        </w:tc>
        <w:tc>
          <w:tcPr>
            <w:tcW w:w="2696"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1883" w:type="dxa"/>
            <w:gridSpan w:val="2"/>
            <w:vAlign w:val="center"/>
          </w:tcPr>
          <w:p>
            <w:pPr>
              <w:spacing w:line="3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6.87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2940" w:type="dxa"/>
            <w:vAlign w:val="center"/>
          </w:tcPr>
          <w:p>
            <w:pPr>
              <w:spacing w:line="300" w:lineRule="exact"/>
              <w:ind w:firstLine="840" w:firstLineChars="4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培训费</w:t>
            </w:r>
          </w:p>
        </w:tc>
        <w:tc>
          <w:tcPr>
            <w:tcW w:w="2119"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1.40</w:t>
            </w:r>
          </w:p>
        </w:tc>
        <w:tc>
          <w:tcPr>
            <w:tcW w:w="2696"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1883" w:type="dxa"/>
            <w:gridSpan w:val="2"/>
            <w:vAlign w:val="center"/>
          </w:tcPr>
          <w:p>
            <w:pPr>
              <w:spacing w:line="3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2940" w:type="dxa"/>
            <w:vAlign w:val="center"/>
          </w:tcPr>
          <w:p>
            <w:pPr>
              <w:spacing w:line="300" w:lineRule="exact"/>
              <w:ind w:firstLine="840" w:firstLineChars="4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公务接待费</w:t>
            </w:r>
          </w:p>
        </w:tc>
        <w:tc>
          <w:tcPr>
            <w:tcW w:w="2119"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1.68</w:t>
            </w:r>
          </w:p>
        </w:tc>
        <w:tc>
          <w:tcPr>
            <w:tcW w:w="2696"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1883" w:type="dxa"/>
            <w:gridSpan w:val="2"/>
            <w:vAlign w:val="center"/>
          </w:tcPr>
          <w:p>
            <w:pPr>
              <w:spacing w:line="3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2940" w:type="dxa"/>
            <w:vAlign w:val="center"/>
          </w:tcPr>
          <w:p>
            <w:pPr>
              <w:spacing w:line="300" w:lineRule="exact"/>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        劳务费</w:t>
            </w:r>
          </w:p>
        </w:tc>
        <w:tc>
          <w:tcPr>
            <w:tcW w:w="2119"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19.23</w:t>
            </w:r>
          </w:p>
        </w:tc>
        <w:tc>
          <w:tcPr>
            <w:tcW w:w="2696"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1883" w:type="dxa"/>
            <w:gridSpan w:val="2"/>
            <w:vAlign w:val="center"/>
          </w:tcPr>
          <w:p>
            <w:pPr>
              <w:spacing w:line="3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2940" w:type="dxa"/>
            <w:vAlign w:val="center"/>
          </w:tcPr>
          <w:p>
            <w:pPr>
              <w:spacing w:line="300" w:lineRule="exact"/>
              <w:ind w:firstLine="840" w:firstLineChars="4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工会经费</w:t>
            </w:r>
          </w:p>
        </w:tc>
        <w:tc>
          <w:tcPr>
            <w:tcW w:w="2119"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20.83</w:t>
            </w:r>
          </w:p>
        </w:tc>
        <w:tc>
          <w:tcPr>
            <w:tcW w:w="2696"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1883" w:type="dxa"/>
            <w:gridSpan w:val="2"/>
            <w:vAlign w:val="center"/>
          </w:tcPr>
          <w:p>
            <w:pPr>
              <w:spacing w:line="3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2940" w:type="dxa"/>
            <w:vAlign w:val="center"/>
          </w:tcPr>
          <w:p>
            <w:pPr>
              <w:spacing w:line="300" w:lineRule="exact"/>
              <w:ind w:firstLine="840" w:firstLineChars="4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福利费</w:t>
            </w:r>
          </w:p>
        </w:tc>
        <w:tc>
          <w:tcPr>
            <w:tcW w:w="2119"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11.36</w:t>
            </w:r>
          </w:p>
        </w:tc>
        <w:tc>
          <w:tcPr>
            <w:tcW w:w="2696"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1883" w:type="dxa"/>
            <w:gridSpan w:val="2"/>
            <w:vAlign w:val="center"/>
          </w:tcPr>
          <w:p>
            <w:pPr>
              <w:spacing w:line="3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19.23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2940" w:type="dxa"/>
            <w:vAlign w:val="center"/>
          </w:tcPr>
          <w:p>
            <w:pPr>
              <w:spacing w:line="300" w:lineRule="exact"/>
              <w:ind w:firstLine="840" w:firstLineChars="4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公务用车维护</w:t>
            </w:r>
          </w:p>
        </w:tc>
        <w:tc>
          <w:tcPr>
            <w:tcW w:w="2119"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9.04</w:t>
            </w:r>
          </w:p>
        </w:tc>
        <w:tc>
          <w:tcPr>
            <w:tcW w:w="2696"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1883" w:type="dxa"/>
            <w:gridSpan w:val="2"/>
            <w:vAlign w:val="center"/>
          </w:tcPr>
          <w:p>
            <w:pPr>
              <w:spacing w:line="3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2940" w:type="dxa"/>
            <w:vAlign w:val="center"/>
          </w:tcPr>
          <w:p>
            <w:pPr>
              <w:spacing w:line="300" w:lineRule="exact"/>
              <w:ind w:firstLine="840" w:firstLineChars="4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其他交通费</w:t>
            </w:r>
          </w:p>
        </w:tc>
        <w:tc>
          <w:tcPr>
            <w:tcW w:w="2119"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65.88</w:t>
            </w:r>
          </w:p>
        </w:tc>
        <w:tc>
          <w:tcPr>
            <w:tcW w:w="2696"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1883" w:type="dxa"/>
            <w:gridSpan w:val="2"/>
            <w:vAlign w:val="center"/>
          </w:tcPr>
          <w:p>
            <w:pPr>
              <w:spacing w:line="3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67.52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2940" w:type="dxa"/>
            <w:vAlign w:val="center"/>
          </w:tcPr>
          <w:p>
            <w:pPr>
              <w:spacing w:line="300" w:lineRule="exact"/>
              <w:ind w:firstLine="840" w:firstLineChars="4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其他商品及服务</w:t>
            </w:r>
          </w:p>
        </w:tc>
        <w:tc>
          <w:tcPr>
            <w:tcW w:w="2119"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47.10</w:t>
            </w:r>
          </w:p>
        </w:tc>
        <w:tc>
          <w:tcPr>
            <w:tcW w:w="2696"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1883" w:type="dxa"/>
            <w:gridSpan w:val="2"/>
            <w:vAlign w:val="center"/>
          </w:tcPr>
          <w:p>
            <w:pPr>
              <w:spacing w:line="3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141.36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2940" w:type="dxa"/>
            <w:vAlign w:val="center"/>
          </w:tcPr>
          <w:p>
            <w:pPr>
              <w:spacing w:line="300" w:lineRule="exact"/>
              <w:ind w:firstLine="840" w:firstLineChars="4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资本性支出</w:t>
            </w:r>
          </w:p>
        </w:tc>
        <w:tc>
          <w:tcPr>
            <w:tcW w:w="2119"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5.27</w:t>
            </w:r>
          </w:p>
        </w:tc>
        <w:tc>
          <w:tcPr>
            <w:tcW w:w="2696"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1883" w:type="dxa"/>
            <w:gridSpan w:val="2"/>
            <w:vAlign w:val="center"/>
          </w:tcPr>
          <w:p>
            <w:pPr>
              <w:spacing w:line="3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40" w:type="dxa"/>
            <w:vAlign w:val="center"/>
          </w:tcPr>
          <w:p>
            <w:pPr>
              <w:spacing w:line="300" w:lineRule="exact"/>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bCs/>
                <w:color w:val="auto"/>
                <w:sz w:val="21"/>
                <w:szCs w:val="21"/>
                <w:highlight w:val="none"/>
              </w:rPr>
              <w:t>四、政府采购金额</w:t>
            </w:r>
          </w:p>
        </w:tc>
        <w:tc>
          <w:tcPr>
            <w:tcW w:w="2119"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2696" w:type="dxa"/>
            <w:gridSpan w:val="2"/>
            <w:vAlign w:val="center"/>
          </w:tcPr>
          <w:p>
            <w:pPr>
              <w:spacing w:line="3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63.88</w:t>
            </w:r>
          </w:p>
        </w:tc>
        <w:tc>
          <w:tcPr>
            <w:tcW w:w="1883" w:type="dxa"/>
            <w:gridSpan w:val="2"/>
            <w:vAlign w:val="center"/>
          </w:tcPr>
          <w:p>
            <w:pPr>
              <w:spacing w:line="3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40" w:type="dxa"/>
            <w:vAlign w:val="center"/>
          </w:tcPr>
          <w:p>
            <w:pPr>
              <w:spacing w:line="300" w:lineRule="exact"/>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bCs/>
                <w:color w:val="auto"/>
                <w:sz w:val="21"/>
                <w:szCs w:val="21"/>
                <w:highlight w:val="none"/>
              </w:rPr>
              <w:t xml:space="preserve">五、部门基本支出预算调整 </w:t>
            </w:r>
          </w:p>
        </w:tc>
        <w:tc>
          <w:tcPr>
            <w:tcW w:w="2119" w:type="dxa"/>
            <w:gridSpan w:val="2"/>
            <w:vAlign w:val="center"/>
          </w:tcPr>
          <w:p>
            <w:pPr>
              <w:spacing w:line="3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2450.81</w:t>
            </w:r>
          </w:p>
        </w:tc>
        <w:tc>
          <w:tcPr>
            <w:tcW w:w="2696" w:type="dxa"/>
            <w:gridSpan w:val="2"/>
            <w:vAlign w:val="center"/>
          </w:tcPr>
          <w:p>
            <w:pPr>
              <w:spacing w:line="3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2490.10</w:t>
            </w:r>
          </w:p>
        </w:tc>
        <w:tc>
          <w:tcPr>
            <w:tcW w:w="1883" w:type="dxa"/>
            <w:gridSpan w:val="2"/>
            <w:vAlign w:val="center"/>
          </w:tcPr>
          <w:p>
            <w:pPr>
              <w:spacing w:line="3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2490.10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2940" w:type="dxa"/>
            <w:vMerge w:val="restart"/>
            <w:vAlign w:val="center"/>
          </w:tcPr>
          <w:p>
            <w:pPr>
              <w:spacing w:line="300" w:lineRule="exact"/>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rPr>
              <w:t>楼堂馆所控制情况</w:t>
            </w:r>
          </w:p>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（2020年完工项目）</w:t>
            </w:r>
          </w:p>
        </w:tc>
        <w:tc>
          <w:tcPr>
            <w:tcW w:w="963" w:type="dxa"/>
            <w:vAlign w:val="center"/>
          </w:tcPr>
          <w:p>
            <w:pPr>
              <w:spacing w:line="300" w:lineRule="exact"/>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批复规模</w:t>
            </w:r>
          </w:p>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1156" w:type="dxa"/>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实际规模（㎡）</w:t>
            </w:r>
          </w:p>
        </w:tc>
        <w:tc>
          <w:tcPr>
            <w:tcW w:w="1111" w:type="dxa"/>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规模控制率</w:t>
            </w:r>
          </w:p>
        </w:tc>
        <w:tc>
          <w:tcPr>
            <w:tcW w:w="1585" w:type="dxa"/>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预算投资（万元）</w:t>
            </w:r>
          </w:p>
        </w:tc>
        <w:tc>
          <w:tcPr>
            <w:tcW w:w="740" w:type="dxa"/>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实际投资（万元）</w:t>
            </w:r>
          </w:p>
        </w:tc>
        <w:tc>
          <w:tcPr>
            <w:tcW w:w="1143" w:type="dxa"/>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投资概算控制率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2940" w:type="dxa"/>
            <w:vMerge w:val="continue"/>
            <w:vAlign w:val="center"/>
          </w:tcPr>
          <w:p>
            <w:pPr>
              <w:spacing w:line="300" w:lineRule="exact"/>
              <w:jc w:val="left"/>
              <w:rPr>
                <w:rFonts w:hint="eastAsia" w:asciiTheme="minorEastAsia" w:hAnsiTheme="minorEastAsia" w:eastAsiaTheme="minorEastAsia" w:cstheme="minorEastAsia"/>
                <w:color w:val="auto"/>
                <w:sz w:val="21"/>
                <w:szCs w:val="21"/>
                <w:highlight w:val="none"/>
              </w:rPr>
            </w:pPr>
          </w:p>
        </w:tc>
        <w:tc>
          <w:tcPr>
            <w:tcW w:w="963" w:type="dxa"/>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0</w:t>
            </w:r>
          </w:p>
        </w:tc>
        <w:tc>
          <w:tcPr>
            <w:tcW w:w="1156" w:type="dxa"/>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0</w:t>
            </w:r>
          </w:p>
        </w:tc>
        <w:tc>
          <w:tcPr>
            <w:tcW w:w="1111" w:type="dxa"/>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100%</w:t>
            </w:r>
          </w:p>
        </w:tc>
        <w:tc>
          <w:tcPr>
            <w:tcW w:w="1585" w:type="dxa"/>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0</w:t>
            </w:r>
          </w:p>
        </w:tc>
        <w:tc>
          <w:tcPr>
            <w:tcW w:w="740" w:type="dxa"/>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0</w:t>
            </w:r>
          </w:p>
        </w:tc>
        <w:tc>
          <w:tcPr>
            <w:tcW w:w="1143" w:type="dxa"/>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2940" w:type="dxa"/>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bCs/>
                <w:color w:val="auto"/>
                <w:sz w:val="21"/>
                <w:szCs w:val="21"/>
                <w:highlight w:val="none"/>
              </w:rPr>
              <w:t>厉行节约保障措施</w:t>
            </w:r>
          </w:p>
        </w:tc>
        <w:tc>
          <w:tcPr>
            <w:tcW w:w="6698" w:type="dxa"/>
            <w:gridSpan w:val="6"/>
            <w:vAlign w:val="center"/>
          </w:tcPr>
          <w:p>
            <w:pPr>
              <w:spacing w:line="300" w:lineRule="exact"/>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本局在工作开展过程中，厉行节约，严格按照财务管理制度进行开支，严格执行中央“八项规定”。</w:t>
            </w:r>
          </w:p>
        </w:tc>
      </w:tr>
    </w:tbl>
    <w:p>
      <w:pPr>
        <w:spacing w:line="360" w:lineRule="exac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说明：项目支出需要填报除基本支出以外的所有项目支出情况，公用经费填报基本支出中的一般商品和服务支出。</w:t>
      </w:r>
    </w:p>
    <w:p>
      <w:pPr>
        <w:spacing w:line="360" w:lineRule="exac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单位负责人签字：         填表人：</w:t>
      </w:r>
      <w:r>
        <w:rPr>
          <w:rFonts w:hint="eastAsia" w:asciiTheme="minorEastAsia" w:hAnsiTheme="minorEastAsia" w:eastAsiaTheme="minorEastAsia" w:cstheme="minorEastAsia"/>
          <w:color w:val="auto"/>
          <w:sz w:val="21"/>
          <w:szCs w:val="21"/>
          <w:highlight w:val="none"/>
          <w:lang w:val="en-US" w:eastAsia="zh-CN"/>
        </w:rPr>
        <w:t>杨琛</w:t>
      </w:r>
      <w:r>
        <w:rPr>
          <w:rFonts w:hint="eastAsia" w:asciiTheme="minorEastAsia" w:hAnsiTheme="minorEastAsia" w:eastAsiaTheme="minorEastAsia" w:cstheme="minorEastAsia"/>
          <w:color w:val="auto"/>
          <w:sz w:val="21"/>
          <w:szCs w:val="21"/>
          <w:highlight w:val="none"/>
        </w:rPr>
        <w:t xml:space="preserve">  联系电话：</w:t>
      </w:r>
      <w:r>
        <w:rPr>
          <w:rFonts w:hint="eastAsia" w:asciiTheme="minorEastAsia" w:hAnsiTheme="minorEastAsia" w:eastAsiaTheme="minorEastAsia" w:cstheme="minorEastAsia"/>
          <w:color w:val="auto"/>
          <w:sz w:val="21"/>
          <w:szCs w:val="21"/>
          <w:highlight w:val="none"/>
          <w:lang w:val="en-US" w:eastAsia="zh-CN"/>
        </w:rPr>
        <w:t>18674340420</w:t>
      </w:r>
      <w:r>
        <w:rPr>
          <w:rFonts w:hint="eastAsia" w:asciiTheme="minorEastAsia" w:hAnsiTheme="minorEastAsia" w:eastAsiaTheme="minorEastAsia" w:cstheme="minorEastAsia"/>
          <w:color w:val="auto"/>
          <w:sz w:val="21"/>
          <w:szCs w:val="21"/>
          <w:highlight w:val="none"/>
        </w:rPr>
        <w:t xml:space="preserve">  填报日期：202</w:t>
      </w:r>
      <w:r>
        <w:rPr>
          <w:rFonts w:hint="eastAsia" w:asciiTheme="minorEastAsia" w:hAnsiTheme="minorEastAsia" w:eastAsiaTheme="minorEastAsia" w:cstheme="minorEastAsia"/>
          <w:color w:val="auto"/>
          <w:sz w:val="21"/>
          <w:szCs w:val="21"/>
          <w:highlight w:val="none"/>
          <w:lang w:val="en-US" w:eastAsia="zh-CN"/>
        </w:rPr>
        <w:t>2</w:t>
      </w:r>
      <w:r>
        <w:rPr>
          <w:rFonts w:hint="eastAsia" w:asciiTheme="minorEastAsia" w:hAnsiTheme="minorEastAsia" w:eastAsiaTheme="minorEastAsia" w:cstheme="minorEastAsia"/>
          <w:color w:val="auto"/>
          <w:sz w:val="21"/>
          <w:szCs w:val="21"/>
          <w:highlight w:val="none"/>
        </w:rPr>
        <w:t>年</w:t>
      </w:r>
      <w:r>
        <w:rPr>
          <w:rFonts w:hint="eastAsia" w:asciiTheme="minorEastAsia" w:hAnsiTheme="minorEastAsia" w:eastAsiaTheme="minorEastAsia" w:cstheme="minorEastAsia"/>
          <w:color w:val="auto"/>
          <w:sz w:val="21"/>
          <w:szCs w:val="21"/>
          <w:highlight w:val="none"/>
          <w:lang w:val="en-US" w:eastAsia="zh-CN"/>
        </w:rPr>
        <w:t>6</w:t>
      </w:r>
      <w:r>
        <w:rPr>
          <w:rFonts w:hint="eastAsia" w:asciiTheme="minorEastAsia" w:hAnsiTheme="minorEastAsia" w:eastAsiaTheme="minorEastAsia" w:cstheme="minorEastAsia"/>
          <w:color w:val="auto"/>
          <w:sz w:val="21"/>
          <w:szCs w:val="21"/>
          <w:highlight w:val="none"/>
        </w:rPr>
        <w:t>月1</w:t>
      </w:r>
      <w:r>
        <w:rPr>
          <w:rFonts w:hint="eastAsia" w:asciiTheme="minorEastAsia" w:hAnsiTheme="minorEastAsia" w:eastAsiaTheme="minorEastAsia" w:cstheme="minorEastAsia"/>
          <w:color w:val="auto"/>
          <w:sz w:val="21"/>
          <w:szCs w:val="21"/>
          <w:highlight w:val="none"/>
          <w:lang w:val="en-US" w:eastAsia="zh-CN"/>
        </w:rPr>
        <w:t>0</w:t>
      </w:r>
      <w:r>
        <w:rPr>
          <w:rFonts w:hint="eastAsia" w:asciiTheme="minorEastAsia" w:hAnsiTheme="minorEastAsia" w:eastAsiaTheme="minorEastAsia" w:cstheme="minorEastAsia"/>
          <w:color w:val="auto"/>
          <w:sz w:val="21"/>
          <w:szCs w:val="21"/>
          <w:highlight w:val="none"/>
        </w:rPr>
        <w:t>日</w:t>
      </w:r>
    </w:p>
    <w:p>
      <w:pPr>
        <w:spacing w:before="156" w:beforeLines="5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 </w:t>
      </w:r>
    </w:p>
    <w:p>
      <w:pPr>
        <w:spacing w:before="156" w:beforeLines="50"/>
        <w:jc w:val="left"/>
        <w:rPr>
          <w:rFonts w:hint="eastAsia" w:asciiTheme="minorEastAsia" w:hAnsiTheme="minorEastAsia" w:eastAsiaTheme="minorEastAsia" w:cstheme="minorEastAsia"/>
          <w:color w:val="auto"/>
          <w:sz w:val="24"/>
          <w:szCs w:val="24"/>
          <w:highlight w:val="none"/>
        </w:rPr>
      </w:pPr>
    </w:p>
    <w:p>
      <w:pPr>
        <w:spacing w:before="156" w:beforeLines="50"/>
        <w:jc w:val="left"/>
        <w:rPr>
          <w:rFonts w:hint="eastAsia" w:asciiTheme="minorEastAsia" w:hAnsiTheme="minorEastAsia" w:eastAsiaTheme="minorEastAsia" w:cstheme="minorEastAsia"/>
          <w:color w:val="auto"/>
          <w:sz w:val="24"/>
          <w:szCs w:val="24"/>
          <w:highlight w:val="none"/>
        </w:rPr>
      </w:pPr>
    </w:p>
    <w:p>
      <w:pPr>
        <w:spacing w:before="156" w:beforeLines="50"/>
        <w:jc w:val="left"/>
        <w:rPr>
          <w:rFonts w:hint="eastAsia" w:asciiTheme="minorEastAsia" w:hAnsiTheme="minorEastAsia" w:eastAsiaTheme="minorEastAsia" w:cstheme="minorEastAsia"/>
          <w:color w:val="auto"/>
          <w:sz w:val="24"/>
          <w:szCs w:val="24"/>
          <w:highlight w:val="none"/>
        </w:rPr>
      </w:pPr>
    </w:p>
    <w:p>
      <w:pPr>
        <w:spacing w:before="156" w:beforeLines="50"/>
        <w:jc w:val="left"/>
        <w:rPr>
          <w:rFonts w:hint="eastAsia" w:asciiTheme="minorEastAsia" w:hAnsiTheme="minorEastAsia" w:eastAsiaTheme="minorEastAsia" w:cstheme="minorEastAsia"/>
          <w:color w:val="auto"/>
          <w:sz w:val="24"/>
          <w:szCs w:val="24"/>
          <w:highlight w:val="none"/>
        </w:rPr>
      </w:pPr>
    </w:p>
    <w:p>
      <w:pPr>
        <w:spacing w:before="156" w:beforeLines="50"/>
        <w:jc w:val="left"/>
        <w:rPr>
          <w:rFonts w:hint="eastAsia" w:asciiTheme="minorEastAsia" w:hAnsiTheme="minorEastAsia" w:eastAsiaTheme="minorEastAsia" w:cstheme="minorEastAsia"/>
          <w:color w:val="auto"/>
          <w:sz w:val="24"/>
          <w:szCs w:val="24"/>
          <w:highlight w:val="none"/>
        </w:rPr>
      </w:pPr>
    </w:p>
    <w:p>
      <w:pPr>
        <w:spacing w:before="156" w:beforeLines="50"/>
        <w:jc w:val="left"/>
        <w:rPr>
          <w:rFonts w:hint="eastAsia" w:asciiTheme="minorEastAsia" w:hAnsiTheme="minorEastAsia" w:eastAsiaTheme="minorEastAsia" w:cstheme="minorEastAsia"/>
          <w:color w:val="auto"/>
          <w:sz w:val="24"/>
          <w:szCs w:val="24"/>
          <w:highlight w:val="none"/>
        </w:rPr>
      </w:pPr>
    </w:p>
    <w:p>
      <w:pPr>
        <w:spacing w:before="156" w:beforeLines="50"/>
        <w:jc w:val="left"/>
        <w:rPr>
          <w:rFonts w:hint="eastAsia" w:asciiTheme="minorEastAsia" w:hAnsiTheme="minorEastAsia" w:eastAsiaTheme="minorEastAsia" w:cstheme="minorEastAsia"/>
          <w:color w:val="auto"/>
          <w:sz w:val="24"/>
          <w:szCs w:val="24"/>
          <w:highlight w:val="none"/>
        </w:rPr>
      </w:pPr>
    </w:p>
    <w:p>
      <w:pPr>
        <w:spacing w:before="156" w:beforeLines="50"/>
        <w:jc w:val="left"/>
        <w:rPr>
          <w:rFonts w:hint="eastAsia" w:asciiTheme="minorEastAsia" w:hAnsiTheme="minorEastAsia" w:eastAsiaTheme="minorEastAsia" w:cstheme="minorEastAsia"/>
          <w:color w:val="auto"/>
          <w:sz w:val="24"/>
          <w:szCs w:val="24"/>
          <w:highlight w:val="none"/>
        </w:rPr>
      </w:pPr>
    </w:p>
    <w:p>
      <w:pPr>
        <w:spacing w:before="156" w:beforeLines="50"/>
        <w:jc w:val="left"/>
        <w:rPr>
          <w:rFonts w:hint="eastAsia" w:asciiTheme="minorEastAsia" w:hAnsiTheme="minorEastAsia" w:eastAsiaTheme="minorEastAsia" w:cstheme="minorEastAsia"/>
          <w:color w:val="auto"/>
          <w:sz w:val="24"/>
          <w:szCs w:val="24"/>
          <w:highlight w:val="none"/>
        </w:rPr>
      </w:pPr>
    </w:p>
    <w:p>
      <w:pPr>
        <w:spacing w:before="156" w:beforeLines="50"/>
        <w:jc w:val="left"/>
        <w:rPr>
          <w:rFonts w:hint="eastAsia" w:asciiTheme="minorEastAsia" w:hAnsiTheme="minorEastAsia" w:eastAsiaTheme="minorEastAsia" w:cstheme="minorEastAsia"/>
          <w:color w:val="auto"/>
          <w:sz w:val="24"/>
          <w:szCs w:val="24"/>
          <w:highlight w:val="none"/>
        </w:rPr>
      </w:pPr>
    </w:p>
    <w:p>
      <w:pPr>
        <w:spacing w:before="156" w:beforeLines="50"/>
        <w:jc w:val="left"/>
        <w:rPr>
          <w:rFonts w:hint="eastAsia" w:asciiTheme="minorEastAsia" w:hAnsiTheme="minorEastAsia" w:eastAsiaTheme="minorEastAsia" w:cstheme="minorEastAsia"/>
          <w:color w:val="auto"/>
          <w:sz w:val="24"/>
          <w:szCs w:val="24"/>
          <w:highlight w:val="none"/>
        </w:rPr>
      </w:pPr>
    </w:p>
    <w:p>
      <w:pPr>
        <w:spacing w:before="156" w:beforeLines="50"/>
        <w:jc w:val="left"/>
        <w:rPr>
          <w:rFonts w:hint="eastAsia" w:asciiTheme="minorEastAsia" w:hAnsiTheme="minorEastAsia" w:eastAsiaTheme="minorEastAsia" w:cstheme="minorEastAsia"/>
          <w:color w:val="auto"/>
          <w:sz w:val="24"/>
          <w:szCs w:val="24"/>
          <w:highlight w:val="none"/>
        </w:rPr>
      </w:pPr>
    </w:p>
    <w:p>
      <w:pPr>
        <w:spacing w:before="156" w:beforeLines="50"/>
        <w:jc w:val="left"/>
        <w:rPr>
          <w:rFonts w:hint="eastAsia" w:asciiTheme="minorEastAsia" w:hAnsiTheme="minorEastAsia" w:eastAsiaTheme="minorEastAsia" w:cstheme="minorEastAsia"/>
          <w:color w:val="auto"/>
          <w:sz w:val="24"/>
          <w:szCs w:val="24"/>
          <w:highlight w:val="none"/>
        </w:rPr>
      </w:pPr>
    </w:p>
    <w:p>
      <w:pPr>
        <w:spacing w:before="156" w:beforeLines="50"/>
        <w:jc w:val="left"/>
        <w:rPr>
          <w:rFonts w:hint="eastAsia" w:asciiTheme="minorEastAsia" w:hAnsiTheme="minorEastAsia" w:eastAsiaTheme="minorEastAsia" w:cstheme="minorEastAsia"/>
          <w:color w:val="auto"/>
          <w:sz w:val="24"/>
          <w:szCs w:val="24"/>
          <w:highlight w:val="none"/>
        </w:rPr>
      </w:pPr>
    </w:p>
    <w:p>
      <w:pPr>
        <w:spacing w:before="156" w:beforeLines="50"/>
        <w:jc w:val="left"/>
        <w:rPr>
          <w:rFonts w:hint="eastAsia" w:asciiTheme="minorEastAsia" w:hAnsiTheme="minorEastAsia" w:eastAsiaTheme="minorEastAsia" w:cstheme="minorEastAsia"/>
          <w:color w:val="auto"/>
          <w:sz w:val="24"/>
          <w:szCs w:val="24"/>
          <w:highlight w:val="none"/>
        </w:rPr>
      </w:pPr>
    </w:p>
    <w:p>
      <w:pPr>
        <w:spacing w:before="156" w:beforeLines="50"/>
        <w:jc w:val="left"/>
        <w:rPr>
          <w:rFonts w:hint="eastAsia" w:asciiTheme="minorEastAsia" w:hAnsiTheme="minorEastAsia" w:eastAsiaTheme="minorEastAsia" w:cstheme="minorEastAsia"/>
          <w:color w:val="auto"/>
          <w:sz w:val="24"/>
          <w:szCs w:val="24"/>
          <w:highlight w:val="none"/>
        </w:rPr>
      </w:pPr>
    </w:p>
    <w:p>
      <w:pPr>
        <w:spacing w:before="156" w:beforeLines="50"/>
        <w:jc w:val="left"/>
        <w:rPr>
          <w:rFonts w:hint="eastAsia" w:asciiTheme="minorEastAsia" w:hAnsiTheme="minorEastAsia" w:eastAsiaTheme="minorEastAsia" w:cstheme="minorEastAsia"/>
          <w:color w:val="auto"/>
          <w:sz w:val="24"/>
          <w:szCs w:val="24"/>
          <w:highlight w:val="none"/>
        </w:rPr>
      </w:pPr>
    </w:p>
    <w:p>
      <w:pPr>
        <w:spacing w:before="156" w:beforeLines="50"/>
        <w:jc w:val="left"/>
        <w:rPr>
          <w:rFonts w:hint="eastAsia" w:asciiTheme="minorEastAsia" w:hAnsiTheme="minorEastAsia" w:eastAsiaTheme="minorEastAsia" w:cstheme="minorEastAsia"/>
          <w:color w:val="auto"/>
          <w:sz w:val="24"/>
          <w:szCs w:val="24"/>
          <w:highlight w:val="none"/>
        </w:rPr>
      </w:pPr>
    </w:p>
    <w:p>
      <w:pPr>
        <w:spacing w:before="156" w:beforeLines="50"/>
        <w:jc w:val="left"/>
        <w:rPr>
          <w:rFonts w:hint="eastAsia" w:asciiTheme="minorEastAsia" w:hAnsiTheme="minorEastAsia" w:eastAsiaTheme="minorEastAsia" w:cstheme="minorEastAsia"/>
          <w:color w:val="auto"/>
          <w:sz w:val="24"/>
          <w:szCs w:val="24"/>
          <w:highlight w:val="none"/>
        </w:rPr>
      </w:pPr>
    </w:p>
    <w:p>
      <w:pPr>
        <w:spacing w:before="156" w:beforeLines="50"/>
        <w:jc w:val="left"/>
        <w:rPr>
          <w:rFonts w:hint="eastAsia" w:asciiTheme="minorEastAsia" w:hAnsiTheme="minorEastAsia" w:eastAsiaTheme="minorEastAsia" w:cstheme="minorEastAsia"/>
          <w:color w:val="auto"/>
          <w:sz w:val="24"/>
          <w:szCs w:val="24"/>
          <w:highlight w:val="none"/>
        </w:rPr>
      </w:pPr>
    </w:p>
    <w:p>
      <w:pPr>
        <w:spacing w:before="156" w:beforeLines="50"/>
        <w:jc w:val="left"/>
        <w:rPr>
          <w:rFonts w:hint="eastAsia" w:asciiTheme="minorEastAsia" w:hAnsiTheme="minorEastAsia" w:eastAsiaTheme="minorEastAsia" w:cstheme="minorEastAsia"/>
          <w:color w:val="auto"/>
          <w:sz w:val="24"/>
          <w:szCs w:val="24"/>
          <w:highlight w:val="none"/>
        </w:rPr>
      </w:pPr>
    </w:p>
    <w:p>
      <w:pPr>
        <w:spacing w:before="156" w:beforeLines="50"/>
        <w:jc w:val="left"/>
        <w:rPr>
          <w:rFonts w:hint="eastAsia" w:asciiTheme="minorEastAsia" w:hAnsiTheme="minorEastAsia" w:eastAsiaTheme="minorEastAsia" w:cstheme="minorEastAsia"/>
          <w:color w:val="auto"/>
          <w:sz w:val="24"/>
          <w:szCs w:val="24"/>
          <w:highlight w:val="none"/>
        </w:rPr>
      </w:pPr>
    </w:p>
    <w:p>
      <w:pPr>
        <w:spacing w:before="156" w:beforeLines="50"/>
        <w:jc w:val="left"/>
        <w:rPr>
          <w:rFonts w:hint="eastAsia" w:asciiTheme="minorEastAsia" w:hAnsiTheme="minorEastAsia" w:eastAsiaTheme="minorEastAsia" w:cstheme="minorEastAsia"/>
          <w:color w:val="auto"/>
          <w:sz w:val="24"/>
          <w:szCs w:val="24"/>
          <w:highlight w:val="none"/>
        </w:rPr>
      </w:pPr>
    </w:p>
    <w:p>
      <w:pPr>
        <w:spacing w:before="156" w:beforeLines="50"/>
        <w:jc w:val="left"/>
        <w:rPr>
          <w:rFonts w:hint="eastAsia" w:asciiTheme="minorEastAsia" w:hAnsiTheme="minorEastAsia" w:eastAsiaTheme="minorEastAsia" w:cstheme="minorEastAsia"/>
          <w:b/>
          <w:bCs/>
          <w:color w:val="auto"/>
          <w:sz w:val="24"/>
          <w:szCs w:val="24"/>
          <w:highlight w:val="none"/>
          <w:lang w:eastAsia="zh-CN"/>
        </w:rPr>
      </w:pPr>
      <w:r>
        <w:rPr>
          <w:rFonts w:hint="eastAsia" w:asciiTheme="minorEastAsia" w:hAnsiTheme="minorEastAsia" w:eastAsiaTheme="minorEastAsia" w:cstheme="minorEastAsia"/>
          <w:b/>
          <w:bCs/>
          <w:color w:val="auto"/>
          <w:sz w:val="24"/>
          <w:szCs w:val="24"/>
          <w:highlight w:val="none"/>
        </w:rPr>
        <w:t>附件</w:t>
      </w:r>
      <w:r>
        <w:rPr>
          <w:rFonts w:hint="eastAsia" w:asciiTheme="minorEastAsia" w:hAnsiTheme="minorEastAsia" w:eastAsiaTheme="minorEastAsia" w:cstheme="minorEastAsia"/>
          <w:b/>
          <w:bCs/>
          <w:color w:val="auto"/>
          <w:sz w:val="24"/>
          <w:szCs w:val="24"/>
          <w:highlight w:val="none"/>
          <w:lang w:val="en-US" w:eastAsia="zh-CN"/>
        </w:rPr>
        <w:t>2</w:t>
      </w:r>
    </w:p>
    <w:p>
      <w:pPr>
        <w:spacing w:before="156" w:beforeLines="50" w:line="400" w:lineRule="exact"/>
        <w:jc w:val="center"/>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州级预算部门整体支出绩效自评表</w:t>
      </w:r>
    </w:p>
    <w:p>
      <w:pPr>
        <w:spacing w:line="400" w:lineRule="exact"/>
        <w:jc w:val="center"/>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（202</w:t>
      </w:r>
      <w:r>
        <w:rPr>
          <w:rFonts w:hint="eastAsia" w:asciiTheme="minorEastAsia" w:hAnsiTheme="minorEastAsia" w:eastAsiaTheme="minorEastAsia" w:cstheme="minorEastAsia"/>
          <w:b/>
          <w:bCs/>
          <w:color w:val="auto"/>
          <w:sz w:val="24"/>
          <w:szCs w:val="24"/>
          <w:highlight w:val="none"/>
          <w:lang w:val="en-US" w:eastAsia="zh-CN"/>
        </w:rPr>
        <w:t>1</w:t>
      </w:r>
      <w:r>
        <w:rPr>
          <w:rFonts w:hint="eastAsia" w:asciiTheme="minorEastAsia" w:hAnsiTheme="minorEastAsia" w:eastAsiaTheme="minorEastAsia" w:cstheme="minorEastAsia"/>
          <w:b/>
          <w:bCs/>
          <w:color w:val="auto"/>
          <w:sz w:val="24"/>
          <w:szCs w:val="24"/>
          <w:highlight w:val="none"/>
        </w:rPr>
        <w:t>年度）</w:t>
      </w:r>
    </w:p>
    <w:tbl>
      <w:tblPr>
        <w:tblStyle w:val="8"/>
        <w:tblW w:w="9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1125"/>
        <w:gridCol w:w="1074"/>
        <w:gridCol w:w="1295"/>
        <w:gridCol w:w="266"/>
        <w:gridCol w:w="905"/>
        <w:gridCol w:w="329"/>
        <w:gridCol w:w="989"/>
        <w:gridCol w:w="936"/>
        <w:gridCol w:w="857"/>
        <w:gridCol w:w="1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956" w:type="dxa"/>
            <w:vAlign w:val="center"/>
          </w:tcPr>
          <w:p>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州级预算部门名  称</w:t>
            </w:r>
          </w:p>
        </w:tc>
        <w:tc>
          <w:tcPr>
            <w:tcW w:w="8929" w:type="dxa"/>
            <w:gridSpan w:val="10"/>
            <w:vAlign w:val="center"/>
          </w:tcPr>
          <w:p>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湘西土家族苗族工业和信息化局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jc w:val="center"/>
        </w:trPr>
        <w:tc>
          <w:tcPr>
            <w:tcW w:w="956" w:type="dxa"/>
            <w:vMerge w:val="restart"/>
            <w:vAlign w:val="center"/>
          </w:tcPr>
          <w:p>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年度预</w:t>
            </w:r>
          </w:p>
          <w:p>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算申请（万元）</w:t>
            </w:r>
          </w:p>
        </w:tc>
        <w:tc>
          <w:tcPr>
            <w:tcW w:w="2199" w:type="dxa"/>
            <w:gridSpan w:val="2"/>
            <w:vAlign w:val="center"/>
          </w:tcPr>
          <w:p>
            <w:pPr>
              <w:spacing w:line="260" w:lineRule="exact"/>
              <w:jc w:val="center"/>
              <w:rPr>
                <w:rFonts w:hint="eastAsia" w:asciiTheme="minorEastAsia" w:hAnsiTheme="minorEastAsia" w:eastAsiaTheme="minorEastAsia" w:cstheme="minorEastAsia"/>
                <w:color w:val="auto"/>
                <w:sz w:val="21"/>
                <w:szCs w:val="21"/>
                <w:highlight w:val="none"/>
              </w:rPr>
            </w:pPr>
          </w:p>
        </w:tc>
        <w:tc>
          <w:tcPr>
            <w:tcW w:w="1561" w:type="dxa"/>
            <w:gridSpan w:val="2"/>
            <w:vAlign w:val="center"/>
          </w:tcPr>
          <w:p>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年初</w:t>
            </w:r>
          </w:p>
          <w:p>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预算数</w:t>
            </w:r>
          </w:p>
        </w:tc>
        <w:tc>
          <w:tcPr>
            <w:tcW w:w="1234" w:type="dxa"/>
            <w:gridSpan w:val="2"/>
            <w:vAlign w:val="center"/>
          </w:tcPr>
          <w:p>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全年</w:t>
            </w:r>
          </w:p>
          <w:p>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预算数</w:t>
            </w:r>
          </w:p>
        </w:tc>
        <w:tc>
          <w:tcPr>
            <w:tcW w:w="989" w:type="dxa"/>
            <w:vAlign w:val="center"/>
          </w:tcPr>
          <w:p>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全年</w:t>
            </w:r>
          </w:p>
          <w:p>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执行数</w:t>
            </w:r>
          </w:p>
        </w:tc>
        <w:tc>
          <w:tcPr>
            <w:tcW w:w="936" w:type="dxa"/>
            <w:vAlign w:val="center"/>
          </w:tcPr>
          <w:p>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分值</w:t>
            </w:r>
          </w:p>
        </w:tc>
        <w:tc>
          <w:tcPr>
            <w:tcW w:w="857" w:type="dxa"/>
            <w:vAlign w:val="center"/>
          </w:tcPr>
          <w:p>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执行率</w:t>
            </w:r>
          </w:p>
        </w:tc>
        <w:tc>
          <w:tcPr>
            <w:tcW w:w="1153" w:type="dxa"/>
            <w:vAlign w:val="center"/>
          </w:tcPr>
          <w:p>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956" w:type="dxa"/>
            <w:vMerge w:val="continue"/>
            <w:vAlign w:val="center"/>
          </w:tcPr>
          <w:p>
            <w:pPr>
              <w:spacing w:line="260" w:lineRule="exact"/>
              <w:jc w:val="left"/>
              <w:rPr>
                <w:rFonts w:hint="eastAsia" w:asciiTheme="minorEastAsia" w:hAnsiTheme="minorEastAsia" w:eastAsiaTheme="minorEastAsia" w:cstheme="minorEastAsia"/>
                <w:color w:val="auto"/>
                <w:sz w:val="21"/>
                <w:szCs w:val="21"/>
                <w:highlight w:val="none"/>
              </w:rPr>
            </w:pPr>
          </w:p>
        </w:tc>
        <w:tc>
          <w:tcPr>
            <w:tcW w:w="2199" w:type="dxa"/>
            <w:gridSpan w:val="2"/>
            <w:vAlign w:val="center"/>
          </w:tcPr>
          <w:p>
            <w:pPr>
              <w:spacing w:line="260" w:lineRule="exac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年度资金总额</w:t>
            </w:r>
          </w:p>
        </w:tc>
        <w:tc>
          <w:tcPr>
            <w:tcW w:w="1561" w:type="dxa"/>
            <w:gridSpan w:val="2"/>
            <w:vAlign w:val="center"/>
          </w:tcPr>
          <w:p>
            <w:pPr>
              <w:spacing w:line="26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1592.83</w:t>
            </w:r>
          </w:p>
        </w:tc>
        <w:tc>
          <w:tcPr>
            <w:tcW w:w="1234" w:type="dxa"/>
            <w:gridSpan w:val="2"/>
            <w:vAlign w:val="center"/>
          </w:tcPr>
          <w:p>
            <w:pPr>
              <w:spacing w:line="26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7020.73</w:t>
            </w:r>
          </w:p>
        </w:tc>
        <w:tc>
          <w:tcPr>
            <w:tcW w:w="989" w:type="dxa"/>
            <w:vAlign w:val="center"/>
          </w:tcPr>
          <w:p>
            <w:pPr>
              <w:spacing w:line="26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6568.25</w:t>
            </w:r>
          </w:p>
        </w:tc>
        <w:tc>
          <w:tcPr>
            <w:tcW w:w="936" w:type="dxa"/>
            <w:vAlign w:val="center"/>
          </w:tcPr>
          <w:p>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10</w:t>
            </w:r>
          </w:p>
        </w:tc>
        <w:tc>
          <w:tcPr>
            <w:tcW w:w="857" w:type="dxa"/>
            <w:vAlign w:val="center"/>
          </w:tcPr>
          <w:p>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93.55</w:t>
            </w:r>
            <w:r>
              <w:rPr>
                <w:rFonts w:hint="eastAsia" w:asciiTheme="minorEastAsia" w:hAnsiTheme="minorEastAsia" w:eastAsiaTheme="minorEastAsia" w:cstheme="minorEastAsia"/>
                <w:color w:val="auto"/>
                <w:sz w:val="21"/>
                <w:szCs w:val="21"/>
                <w:highlight w:val="none"/>
              </w:rPr>
              <w:t>%</w:t>
            </w:r>
          </w:p>
        </w:tc>
        <w:tc>
          <w:tcPr>
            <w:tcW w:w="1153" w:type="dxa"/>
            <w:vAlign w:val="center"/>
          </w:tcPr>
          <w:p>
            <w:pPr>
              <w:spacing w:line="26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9.36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956" w:type="dxa"/>
            <w:vMerge w:val="continue"/>
            <w:vAlign w:val="center"/>
          </w:tcPr>
          <w:p>
            <w:pPr>
              <w:spacing w:line="260" w:lineRule="exact"/>
              <w:jc w:val="left"/>
              <w:rPr>
                <w:rFonts w:hint="eastAsia" w:asciiTheme="minorEastAsia" w:hAnsiTheme="minorEastAsia" w:eastAsiaTheme="minorEastAsia" w:cstheme="minorEastAsia"/>
                <w:color w:val="auto"/>
                <w:sz w:val="21"/>
                <w:szCs w:val="21"/>
                <w:highlight w:val="none"/>
              </w:rPr>
            </w:pPr>
          </w:p>
        </w:tc>
        <w:tc>
          <w:tcPr>
            <w:tcW w:w="2199" w:type="dxa"/>
            <w:gridSpan w:val="2"/>
            <w:vAlign w:val="center"/>
          </w:tcPr>
          <w:p>
            <w:pPr>
              <w:spacing w:line="260" w:lineRule="exact"/>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按收入性质分：</w:t>
            </w:r>
          </w:p>
        </w:tc>
        <w:tc>
          <w:tcPr>
            <w:tcW w:w="1561" w:type="dxa"/>
            <w:gridSpan w:val="2"/>
            <w:vAlign w:val="center"/>
          </w:tcPr>
          <w:p>
            <w:pPr>
              <w:spacing w:line="260" w:lineRule="exact"/>
              <w:jc w:val="center"/>
              <w:rPr>
                <w:rFonts w:hint="eastAsia" w:asciiTheme="minorEastAsia" w:hAnsiTheme="minorEastAsia" w:eastAsiaTheme="minorEastAsia" w:cstheme="minorEastAsia"/>
                <w:color w:val="FF0000"/>
                <w:sz w:val="21"/>
                <w:szCs w:val="21"/>
                <w:highlight w:val="none"/>
              </w:rPr>
            </w:pPr>
          </w:p>
        </w:tc>
        <w:tc>
          <w:tcPr>
            <w:tcW w:w="1234" w:type="dxa"/>
            <w:gridSpan w:val="2"/>
            <w:vAlign w:val="center"/>
          </w:tcPr>
          <w:p>
            <w:pPr>
              <w:spacing w:line="260" w:lineRule="exact"/>
              <w:jc w:val="center"/>
              <w:rPr>
                <w:rFonts w:hint="eastAsia" w:asciiTheme="minorEastAsia" w:hAnsiTheme="minorEastAsia" w:eastAsiaTheme="minorEastAsia" w:cstheme="minorEastAsia"/>
                <w:color w:val="FF0000"/>
                <w:sz w:val="21"/>
                <w:szCs w:val="21"/>
                <w:highlight w:val="none"/>
              </w:rPr>
            </w:pPr>
          </w:p>
        </w:tc>
        <w:tc>
          <w:tcPr>
            <w:tcW w:w="989" w:type="dxa"/>
            <w:vAlign w:val="center"/>
          </w:tcPr>
          <w:p>
            <w:pPr>
              <w:spacing w:line="260" w:lineRule="exact"/>
              <w:jc w:val="center"/>
              <w:rPr>
                <w:rFonts w:hint="eastAsia" w:asciiTheme="minorEastAsia" w:hAnsiTheme="minorEastAsia" w:eastAsiaTheme="minorEastAsia" w:cstheme="minorEastAsia"/>
                <w:color w:val="FF0000"/>
                <w:sz w:val="21"/>
                <w:szCs w:val="21"/>
                <w:highlight w:val="none"/>
              </w:rPr>
            </w:pPr>
          </w:p>
        </w:tc>
        <w:tc>
          <w:tcPr>
            <w:tcW w:w="936" w:type="dxa"/>
            <w:vAlign w:val="center"/>
          </w:tcPr>
          <w:p>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857" w:type="dxa"/>
            <w:vAlign w:val="center"/>
          </w:tcPr>
          <w:p>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1153" w:type="dxa"/>
            <w:vAlign w:val="center"/>
          </w:tcPr>
          <w:p>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956" w:type="dxa"/>
            <w:vMerge w:val="continue"/>
            <w:vAlign w:val="center"/>
          </w:tcPr>
          <w:p>
            <w:pPr>
              <w:spacing w:line="260" w:lineRule="exact"/>
              <w:jc w:val="left"/>
              <w:rPr>
                <w:rFonts w:hint="eastAsia" w:asciiTheme="minorEastAsia" w:hAnsiTheme="minorEastAsia" w:eastAsiaTheme="minorEastAsia" w:cstheme="minorEastAsia"/>
                <w:color w:val="auto"/>
                <w:sz w:val="21"/>
                <w:szCs w:val="21"/>
                <w:highlight w:val="none"/>
              </w:rPr>
            </w:pPr>
          </w:p>
        </w:tc>
        <w:tc>
          <w:tcPr>
            <w:tcW w:w="2199" w:type="dxa"/>
            <w:gridSpan w:val="2"/>
            <w:vAlign w:val="center"/>
          </w:tcPr>
          <w:p>
            <w:pPr>
              <w:spacing w:line="260" w:lineRule="exact"/>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  一般公共预算</w:t>
            </w:r>
          </w:p>
        </w:tc>
        <w:tc>
          <w:tcPr>
            <w:tcW w:w="1561" w:type="dxa"/>
            <w:gridSpan w:val="2"/>
            <w:vAlign w:val="center"/>
          </w:tcPr>
          <w:p>
            <w:pPr>
              <w:spacing w:line="26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1592.83</w:t>
            </w:r>
          </w:p>
        </w:tc>
        <w:tc>
          <w:tcPr>
            <w:tcW w:w="1234" w:type="dxa"/>
            <w:gridSpan w:val="2"/>
            <w:vAlign w:val="center"/>
          </w:tcPr>
          <w:p>
            <w:pPr>
              <w:spacing w:line="26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4679.80</w:t>
            </w:r>
          </w:p>
        </w:tc>
        <w:tc>
          <w:tcPr>
            <w:tcW w:w="989" w:type="dxa"/>
            <w:vAlign w:val="center"/>
          </w:tcPr>
          <w:p>
            <w:pPr>
              <w:spacing w:line="26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4679.80</w:t>
            </w:r>
          </w:p>
        </w:tc>
        <w:tc>
          <w:tcPr>
            <w:tcW w:w="936" w:type="dxa"/>
            <w:vAlign w:val="center"/>
          </w:tcPr>
          <w:p>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857" w:type="dxa"/>
            <w:vAlign w:val="center"/>
          </w:tcPr>
          <w:p>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1153" w:type="dxa"/>
            <w:vAlign w:val="center"/>
          </w:tcPr>
          <w:p>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956" w:type="dxa"/>
            <w:vMerge w:val="continue"/>
            <w:vAlign w:val="center"/>
          </w:tcPr>
          <w:p>
            <w:pPr>
              <w:spacing w:line="260" w:lineRule="exact"/>
              <w:jc w:val="left"/>
              <w:rPr>
                <w:rFonts w:hint="eastAsia" w:asciiTheme="minorEastAsia" w:hAnsiTheme="minorEastAsia" w:eastAsiaTheme="minorEastAsia" w:cstheme="minorEastAsia"/>
                <w:color w:val="auto"/>
                <w:sz w:val="21"/>
                <w:szCs w:val="21"/>
                <w:highlight w:val="none"/>
              </w:rPr>
            </w:pPr>
          </w:p>
        </w:tc>
        <w:tc>
          <w:tcPr>
            <w:tcW w:w="2199" w:type="dxa"/>
            <w:gridSpan w:val="2"/>
            <w:vAlign w:val="center"/>
          </w:tcPr>
          <w:p>
            <w:pPr>
              <w:spacing w:line="260" w:lineRule="exact"/>
              <w:ind w:firstLine="210" w:firstLineChars="100"/>
              <w:jc w:val="left"/>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事业收入</w:t>
            </w:r>
          </w:p>
        </w:tc>
        <w:tc>
          <w:tcPr>
            <w:tcW w:w="1561" w:type="dxa"/>
            <w:gridSpan w:val="2"/>
            <w:vAlign w:val="center"/>
          </w:tcPr>
          <w:p>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0</w:t>
            </w:r>
          </w:p>
        </w:tc>
        <w:tc>
          <w:tcPr>
            <w:tcW w:w="1234" w:type="dxa"/>
            <w:gridSpan w:val="2"/>
            <w:vAlign w:val="center"/>
          </w:tcPr>
          <w:p>
            <w:pPr>
              <w:spacing w:line="26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30.00</w:t>
            </w:r>
          </w:p>
        </w:tc>
        <w:tc>
          <w:tcPr>
            <w:tcW w:w="989" w:type="dxa"/>
            <w:vAlign w:val="center"/>
          </w:tcPr>
          <w:p>
            <w:pPr>
              <w:spacing w:line="26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30.00</w:t>
            </w:r>
          </w:p>
        </w:tc>
        <w:tc>
          <w:tcPr>
            <w:tcW w:w="936" w:type="dxa"/>
            <w:vAlign w:val="center"/>
          </w:tcPr>
          <w:p>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857" w:type="dxa"/>
            <w:vAlign w:val="center"/>
          </w:tcPr>
          <w:p>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1153" w:type="dxa"/>
            <w:vAlign w:val="center"/>
          </w:tcPr>
          <w:p>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956" w:type="dxa"/>
            <w:vMerge w:val="continue"/>
            <w:vAlign w:val="center"/>
          </w:tcPr>
          <w:p>
            <w:pPr>
              <w:spacing w:line="260" w:lineRule="exact"/>
              <w:jc w:val="left"/>
              <w:rPr>
                <w:rFonts w:hint="eastAsia" w:asciiTheme="minorEastAsia" w:hAnsiTheme="minorEastAsia" w:eastAsiaTheme="minorEastAsia" w:cstheme="minorEastAsia"/>
                <w:color w:val="auto"/>
                <w:sz w:val="21"/>
                <w:szCs w:val="21"/>
                <w:highlight w:val="none"/>
              </w:rPr>
            </w:pPr>
          </w:p>
        </w:tc>
        <w:tc>
          <w:tcPr>
            <w:tcW w:w="2199" w:type="dxa"/>
            <w:gridSpan w:val="2"/>
            <w:vAlign w:val="center"/>
          </w:tcPr>
          <w:p>
            <w:pPr>
              <w:spacing w:line="260" w:lineRule="exact"/>
              <w:ind w:firstLine="210" w:firstLineChars="1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纳入专户管理的非税收入拨款</w:t>
            </w:r>
          </w:p>
        </w:tc>
        <w:tc>
          <w:tcPr>
            <w:tcW w:w="1561" w:type="dxa"/>
            <w:gridSpan w:val="2"/>
            <w:vAlign w:val="center"/>
          </w:tcPr>
          <w:p>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0</w:t>
            </w:r>
          </w:p>
        </w:tc>
        <w:tc>
          <w:tcPr>
            <w:tcW w:w="1234" w:type="dxa"/>
            <w:gridSpan w:val="2"/>
            <w:vAlign w:val="center"/>
          </w:tcPr>
          <w:p>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0</w:t>
            </w:r>
          </w:p>
        </w:tc>
        <w:tc>
          <w:tcPr>
            <w:tcW w:w="989" w:type="dxa"/>
            <w:vAlign w:val="center"/>
          </w:tcPr>
          <w:p>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0</w:t>
            </w:r>
          </w:p>
        </w:tc>
        <w:tc>
          <w:tcPr>
            <w:tcW w:w="936" w:type="dxa"/>
            <w:vAlign w:val="center"/>
          </w:tcPr>
          <w:p>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857" w:type="dxa"/>
            <w:vAlign w:val="center"/>
          </w:tcPr>
          <w:p>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1153" w:type="dxa"/>
            <w:vAlign w:val="center"/>
          </w:tcPr>
          <w:p>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956" w:type="dxa"/>
            <w:vMerge w:val="continue"/>
            <w:vAlign w:val="center"/>
          </w:tcPr>
          <w:p>
            <w:pPr>
              <w:spacing w:line="260" w:lineRule="exact"/>
              <w:jc w:val="left"/>
              <w:rPr>
                <w:rFonts w:hint="eastAsia" w:asciiTheme="minorEastAsia" w:hAnsiTheme="minorEastAsia" w:eastAsiaTheme="minorEastAsia" w:cstheme="minorEastAsia"/>
                <w:color w:val="auto"/>
                <w:sz w:val="21"/>
                <w:szCs w:val="21"/>
                <w:highlight w:val="none"/>
              </w:rPr>
            </w:pPr>
          </w:p>
        </w:tc>
        <w:tc>
          <w:tcPr>
            <w:tcW w:w="2199" w:type="dxa"/>
            <w:gridSpan w:val="2"/>
            <w:vAlign w:val="center"/>
          </w:tcPr>
          <w:p>
            <w:pPr>
              <w:spacing w:line="260" w:lineRule="exact"/>
              <w:ind w:firstLine="210" w:firstLineChars="1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其他资金</w:t>
            </w:r>
          </w:p>
        </w:tc>
        <w:tc>
          <w:tcPr>
            <w:tcW w:w="1561" w:type="dxa"/>
            <w:gridSpan w:val="2"/>
            <w:vAlign w:val="center"/>
          </w:tcPr>
          <w:p>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0</w:t>
            </w:r>
          </w:p>
        </w:tc>
        <w:tc>
          <w:tcPr>
            <w:tcW w:w="1234" w:type="dxa"/>
            <w:gridSpan w:val="2"/>
            <w:vAlign w:val="center"/>
          </w:tcPr>
          <w:p>
            <w:pPr>
              <w:spacing w:line="26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495.71</w:t>
            </w:r>
          </w:p>
        </w:tc>
        <w:tc>
          <w:tcPr>
            <w:tcW w:w="989" w:type="dxa"/>
            <w:vAlign w:val="center"/>
          </w:tcPr>
          <w:p>
            <w:pPr>
              <w:spacing w:line="26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495.71</w:t>
            </w:r>
          </w:p>
        </w:tc>
        <w:tc>
          <w:tcPr>
            <w:tcW w:w="936" w:type="dxa"/>
            <w:vAlign w:val="center"/>
          </w:tcPr>
          <w:p>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857" w:type="dxa"/>
            <w:vAlign w:val="center"/>
          </w:tcPr>
          <w:p>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1153" w:type="dxa"/>
            <w:vAlign w:val="center"/>
          </w:tcPr>
          <w:p>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956" w:type="dxa"/>
            <w:vMerge w:val="continue"/>
            <w:vAlign w:val="center"/>
          </w:tcPr>
          <w:p>
            <w:pPr>
              <w:spacing w:line="260" w:lineRule="exact"/>
              <w:jc w:val="left"/>
              <w:rPr>
                <w:rFonts w:hint="eastAsia" w:asciiTheme="minorEastAsia" w:hAnsiTheme="minorEastAsia" w:eastAsiaTheme="minorEastAsia" w:cstheme="minorEastAsia"/>
                <w:color w:val="auto"/>
                <w:sz w:val="21"/>
                <w:szCs w:val="21"/>
                <w:highlight w:val="none"/>
              </w:rPr>
            </w:pPr>
          </w:p>
        </w:tc>
        <w:tc>
          <w:tcPr>
            <w:tcW w:w="2199" w:type="dxa"/>
            <w:gridSpan w:val="2"/>
            <w:vAlign w:val="center"/>
          </w:tcPr>
          <w:p>
            <w:pPr>
              <w:pStyle w:val="4"/>
              <w:snapToGrid/>
              <w:spacing w:line="260" w:lineRule="exact"/>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rPr>
              <w:t>按支出性质分：</w:t>
            </w:r>
          </w:p>
        </w:tc>
        <w:tc>
          <w:tcPr>
            <w:tcW w:w="1561" w:type="dxa"/>
            <w:gridSpan w:val="2"/>
            <w:vAlign w:val="center"/>
          </w:tcPr>
          <w:p>
            <w:pPr>
              <w:spacing w:line="260" w:lineRule="exact"/>
              <w:jc w:val="center"/>
              <w:rPr>
                <w:rFonts w:hint="eastAsia" w:asciiTheme="minorEastAsia" w:hAnsiTheme="minorEastAsia" w:eastAsiaTheme="minorEastAsia" w:cstheme="minorEastAsia"/>
                <w:color w:val="FF0000"/>
                <w:sz w:val="21"/>
                <w:szCs w:val="21"/>
                <w:highlight w:val="none"/>
              </w:rPr>
            </w:pPr>
          </w:p>
        </w:tc>
        <w:tc>
          <w:tcPr>
            <w:tcW w:w="1234" w:type="dxa"/>
            <w:gridSpan w:val="2"/>
            <w:vAlign w:val="center"/>
          </w:tcPr>
          <w:p>
            <w:pPr>
              <w:spacing w:line="260" w:lineRule="exact"/>
              <w:jc w:val="center"/>
              <w:rPr>
                <w:rFonts w:hint="eastAsia" w:asciiTheme="minorEastAsia" w:hAnsiTheme="minorEastAsia" w:eastAsiaTheme="minorEastAsia" w:cstheme="minorEastAsia"/>
                <w:color w:val="FF0000"/>
                <w:sz w:val="21"/>
                <w:szCs w:val="21"/>
                <w:highlight w:val="none"/>
              </w:rPr>
            </w:pPr>
          </w:p>
        </w:tc>
        <w:tc>
          <w:tcPr>
            <w:tcW w:w="989" w:type="dxa"/>
            <w:vAlign w:val="center"/>
          </w:tcPr>
          <w:p>
            <w:pPr>
              <w:spacing w:line="260" w:lineRule="exact"/>
              <w:jc w:val="center"/>
              <w:rPr>
                <w:rFonts w:hint="eastAsia" w:asciiTheme="minorEastAsia" w:hAnsiTheme="minorEastAsia" w:eastAsiaTheme="minorEastAsia" w:cstheme="minorEastAsia"/>
                <w:color w:val="FF0000"/>
                <w:sz w:val="21"/>
                <w:szCs w:val="21"/>
                <w:highlight w:val="none"/>
              </w:rPr>
            </w:pPr>
          </w:p>
        </w:tc>
        <w:tc>
          <w:tcPr>
            <w:tcW w:w="936" w:type="dxa"/>
            <w:vAlign w:val="center"/>
          </w:tcPr>
          <w:p>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857" w:type="dxa"/>
            <w:vAlign w:val="center"/>
          </w:tcPr>
          <w:p>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1153" w:type="dxa"/>
            <w:vAlign w:val="center"/>
          </w:tcPr>
          <w:p>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956" w:type="dxa"/>
            <w:vMerge w:val="continue"/>
            <w:vAlign w:val="center"/>
          </w:tcPr>
          <w:p>
            <w:pPr>
              <w:spacing w:line="260" w:lineRule="exact"/>
              <w:jc w:val="left"/>
              <w:rPr>
                <w:rFonts w:hint="eastAsia" w:asciiTheme="minorEastAsia" w:hAnsiTheme="minorEastAsia" w:eastAsiaTheme="minorEastAsia" w:cstheme="minorEastAsia"/>
                <w:color w:val="auto"/>
                <w:sz w:val="21"/>
                <w:szCs w:val="21"/>
                <w:highlight w:val="none"/>
              </w:rPr>
            </w:pPr>
          </w:p>
        </w:tc>
        <w:tc>
          <w:tcPr>
            <w:tcW w:w="2199" w:type="dxa"/>
            <w:gridSpan w:val="2"/>
            <w:vAlign w:val="center"/>
          </w:tcPr>
          <w:p>
            <w:pPr>
              <w:spacing w:line="260" w:lineRule="exact"/>
              <w:ind w:firstLine="210" w:firstLineChars="1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基本支出</w:t>
            </w:r>
          </w:p>
        </w:tc>
        <w:tc>
          <w:tcPr>
            <w:tcW w:w="1561" w:type="dxa"/>
            <w:gridSpan w:val="2"/>
            <w:vAlign w:val="center"/>
          </w:tcPr>
          <w:p>
            <w:pPr>
              <w:spacing w:line="26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1455.98</w:t>
            </w:r>
          </w:p>
        </w:tc>
        <w:tc>
          <w:tcPr>
            <w:tcW w:w="1234" w:type="dxa"/>
            <w:gridSpan w:val="2"/>
            <w:vAlign w:val="center"/>
          </w:tcPr>
          <w:p>
            <w:pPr>
              <w:spacing w:line="26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2490.10</w:t>
            </w:r>
          </w:p>
        </w:tc>
        <w:tc>
          <w:tcPr>
            <w:tcW w:w="989" w:type="dxa"/>
            <w:vAlign w:val="center"/>
          </w:tcPr>
          <w:p>
            <w:pPr>
              <w:spacing w:line="26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2490.10</w:t>
            </w:r>
          </w:p>
        </w:tc>
        <w:tc>
          <w:tcPr>
            <w:tcW w:w="936" w:type="dxa"/>
            <w:vAlign w:val="center"/>
          </w:tcPr>
          <w:p>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857" w:type="dxa"/>
            <w:vAlign w:val="center"/>
          </w:tcPr>
          <w:p>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1153" w:type="dxa"/>
            <w:vAlign w:val="center"/>
          </w:tcPr>
          <w:p>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956" w:type="dxa"/>
            <w:vMerge w:val="continue"/>
            <w:vAlign w:val="center"/>
          </w:tcPr>
          <w:p>
            <w:pPr>
              <w:spacing w:line="260" w:lineRule="exact"/>
              <w:jc w:val="left"/>
              <w:rPr>
                <w:rFonts w:hint="eastAsia" w:asciiTheme="minorEastAsia" w:hAnsiTheme="minorEastAsia" w:eastAsiaTheme="minorEastAsia" w:cstheme="minorEastAsia"/>
                <w:color w:val="auto"/>
                <w:sz w:val="21"/>
                <w:szCs w:val="21"/>
                <w:highlight w:val="none"/>
              </w:rPr>
            </w:pPr>
          </w:p>
        </w:tc>
        <w:tc>
          <w:tcPr>
            <w:tcW w:w="2199" w:type="dxa"/>
            <w:gridSpan w:val="2"/>
            <w:vAlign w:val="center"/>
          </w:tcPr>
          <w:p>
            <w:pPr>
              <w:spacing w:line="260" w:lineRule="exact"/>
              <w:ind w:firstLine="210" w:firstLineChars="1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项目支出</w:t>
            </w:r>
          </w:p>
        </w:tc>
        <w:tc>
          <w:tcPr>
            <w:tcW w:w="1561" w:type="dxa"/>
            <w:gridSpan w:val="2"/>
            <w:vAlign w:val="center"/>
          </w:tcPr>
          <w:p>
            <w:pPr>
              <w:spacing w:line="26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136.85</w:t>
            </w:r>
          </w:p>
        </w:tc>
        <w:tc>
          <w:tcPr>
            <w:tcW w:w="1234" w:type="dxa"/>
            <w:gridSpan w:val="2"/>
            <w:vAlign w:val="center"/>
          </w:tcPr>
          <w:p>
            <w:pPr>
              <w:spacing w:line="26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4530.63</w:t>
            </w:r>
          </w:p>
        </w:tc>
        <w:tc>
          <w:tcPr>
            <w:tcW w:w="989" w:type="dxa"/>
            <w:vAlign w:val="center"/>
          </w:tcPr>
          <w:p>
            <w:pPr>
              <w:spacing w:line="26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4078.15</w:t>
            </w:r>
          </w:p>
        </w:tc>
        <w:tc>
          <w:tcPr>
            <w:tcW w:w="936" w:type="dxa"/>
            <w:vAlign w:val="center"/>
          </w:tcPr>
          <w:p>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857" w:type="dxa"/>
            <w:vAlign w:val="center"/>
          </w:tcPr>
          <w:p>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1153" w:type="dxa"/>
            <w:vAlign w:val="center"/>
          </w:tcPr>
          <w:p>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56" w:type="dxa"/>
            <w:vMerge w:val="restart"/>
            <w:vAlign w:val="center"/>
          </w:tcPr>
          <w:p>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年度总体目标</w:t>
            </w:r>
          </w:p>
        </w:tc>
        <w:tc>
          <w:tcPr>
            <w:tcW w:w="3760" w:type="dxa"/>
            <w:gridSpan w:val="4"/>
            <w:vAlign w:val="center"/>
          </w:tcPr>
          <w:p>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预期目标</w:t>
            </w:r>
          </w:p>
        </w:tc>
        <w:tc>
          <w:tcPr>
            <w:tcW w:w="5169" w:type="dxa"/>
            <w:gridSpan w:val="6"/>
            <w:vAlign w:val="center"/>
          </w:tcPr>
          <w:p>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实际完成情况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956" w:type="dxa"/>
            <w:vMerge w:val="continue"/>
            <w:vAlign w:val="center"/>
          </w:tcPr>
          <w:p>
            <w:pPr>
              <w:spacing w:line="260" w:lineRule="exact"/>
              <w:jc w:val="left"/>
              <w:rPr>
                <w:rFonts w:hint="eastAsia" w:asciiTheme="minorEastAsia" w:hAnsiTheme="minorEastAsia" w:eastAsiaTheme="minorEastAsia" w:cstheme="minorEastAsia"/>
                <w:color w:val="auto"/>
                <w:sz w:val="21"/>
                <w:szCs w:val="21"/>
                <w:highlight w:val="none"/>
              </w:rPr>
            </w:pPr>
          </w:p>
        </w:tc>
        <w:tc>
          <w:tcPr>
            <w:tcW w:w="3760" w:type="dxa"/>
            <w:gridSpan w:val="4"/>
            <w:vAlign w:val="center"/>
          </w:tcPr>
          <w:p>
            <w:pPr>
              <w:spacing w:line="260" w:lineRule="exact"/>
              <w:ind w:right="5"/>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全州规模工业增加值增长8%以上，制造业占规模工业增加值的比重提高3个百分点，工业投资及技改投资的比重提高3个百分点，新增入规企业35家，做好企业减费降税工作，完成园区投资100亿元以上，新建标准厂房100万平方米，实施智能制造示范项目10个，主动承接产业转移，引进投资3000万元以上的制造业项目30个。</w:t>
            </w:r>
          </w:p>
        </w:tc>
        <w:tc>
          <w:tcPr>
            <w:tcW w:w="5169" w:type="dxa"/>
            <w:gridSpan w:val="6"/>
            <w:vAlign w:val="center"/>
          </w:tcPr>
          <w:p>
            <w:pPr>
              <w:spacing w:line="260" w:lineRule="exact"/>
              <w:ind w:right="5"/>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1-12月，全州规模工业增加值增速18.1%、两年平均增速11.1%，累计增速高于全国和全省平均水平、排名全省第一；其中，工业投资完成 80.1亿元、同比增长0.7%、两年平均增长18.2%，制造业投资完成56.5 亿元、同比增长11.8%；工业税收完成 15亿元、同比增长59.2%；工业贷款余额74.7亿元、同比增长7.3%，拉动作用增强。全年新增入规企业45家以上</w:t>
            </w:r>
            <w:r>
              <w:rPr>
                <w:rFonts w:hint="eastAsia" w:asciiTheme="minorEastAsia" w:hAnsiTheme="minorEastAsia" w:eastAsiaTheme="minorEastAsia" w:cstheme="minorEastAsia"/>
                <w:color w:val="auto"/>
                <w:sz w:val="21"/>
                <w:szCs w:val="21"/>
                <w:highlight w:val="none"/>
                <w:lang w:eastAsia="zh-CN"/>
              </w:rPr>
              <w:t>。各“链长”、“链办”共外出招商20余次，招引项目39个、投资总额125亿元，为工业经济发展注入新动能。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56" w:type="dxa"/>
            <w:vMerge w:val="restart"/>
            <w:vAlign w:val="center"/>
          </w:tcPr>
          <w:p>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 xml:space="preserve"> 绩</w:t>
            </w:r>
          </w:p>
          <w:p>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效</w:t>
            </w:r>
          </w:p>
          <w:p>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指</w:t>
            </w:r>
          </w:p>
          <w:p>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 xml:space="preserve">标 </w:t>
            </w:r>
          </w:p>
        </w:tc>
        <w:tc>
          <w:tcPr>
            <w:tcW w:w="1125" w:type="dxa"/>
            <w:vAlign w:val="center"/>
          </w:tcPr>
          <w:p>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一级指标</w:t>
            </w:r>
          </w:p>
        </w:tc>
        <w:tc>
          <w:tcPr>
            <w:tcW w:w="1074" w:type="dxa"/>
            <w:vAlign w:val="center"/>
          </w:tcPr>
          <w:p>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二级指标</w:t>
            </w:r>
          </w:p>
        </w:tc>
        <w:tc>
          <w:tcPr>
            <w:tcW w:w="1295" w:type="dxa"/>
            <w:vAlign w:val="center"/>
          </w:tcPr>
          <w:p>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三级指标</w:t>
            </w:r>
          </w:p>
        </w:tc>
        <w:tc>
          <w:tcPr>
            <w:tcW w:w="1171" w:type="dxa"/>
            <w:gridSpan w:val="2"/>
            <w:vAlign w:val="center"/>
          </w:tcPr>
          <w:p>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年度</w:t>
            </w:r>
          </w:p>
          <w:p>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指标值</w:t>
            </w:r>
          </w:p>
        </w:tc>
        <w:tc>
          <w:tcPr>
            <w:tcW w:w="1318" w:type="dxa"/>
            <w:gridSpan w:val="2"/>
            <w:vAlign w:val="center"/>
          </w:tcPr>
          <w:p>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实际</w:t>
            </w:r>
          </w:p>
          <w:p>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完成值</w:t>
            </w:r>
          </w:p>
        </w:tc>
        <w:tc>
          <w:tcPr>
            <w:tcW w:w="936" w:type="dxa"/>
            <w:vAlign w:val="center"/>
          </w:tcPr>
          <w:p>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分值</w:t>
            </w:r>
          </w:p>
        </w:tc>
        <w:tc>
          <w:tcPr>
            <w:tcW w:w="857" w:type="dxa"/>
            <w:vAlign w:val="center"/>
          </w:tcPr>
          <w:p>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得分</w:t>
            </w:r>
          </w:p>
        </w:tc>
        <w:tc>
          <w:tcPr>
            <w:tcW w:w="1153" w:type="dxa"/>
          </w:tcPr>
          <w:p>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偏差原因</w:t>
            </w:r>
          </w:p>
          <w:p>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分析及</w:t>
            </w:r>
          </w:p>
          <w:p>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改进措施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56" w:type="dxa"/>
            <w:vMerge w:val="continue"/>
            <w:vAlign w:val="center"/>
          </w:tcPr>
          <w:p>
            <w:pPr>
              <w:spacing w:line="260" w:lineRule="exact"/>
              <w:jc w:val="left"/>
              <w:rPr>
                <w:rFonts w:hint="eastAsia" w:asciiTheme="minorEastAsia" w:hAnsiTheme="minorEastAsia" w:eastAsiaTheme="minorEastAsia" w:cstheme="minorEastAsia"/>
                <w:b/>
                <w:bCs/>
                <w:color w:val="auto"/>
                <w:sz w:val="21"/>
                <w:szCs w:val="21"/>
                <w:highlight w:val="none"/>
              </w:rPr>
            </w:pPr>
          </w:p>
        </w:tc>
        <w:tc>
          <w:tcPr>
            <w:tcW w:w="1125" w:type="dxa"/>
            <w:vMerge w:val="restart"/>
            <w:vAlign w:val="center"/>
          </w:tcPr>
          <w:p>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产出指标</w:t>
            </w:r>
          </w:p>
          <w:p>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(50分)</w:t>
            </w:r>
          </w:p>
        </w:tc>
        <w:tc>
          <w:tcPr>
            <w:tcW w:w="1074" w:type="dxa"/>
            <w:vMerge w:val="restart"/>
            <w:vAlign w:val="center"/>
          </w:tcPr>
          <w:p>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数量</w:t>
            </w:r>
          </w:p>
          <w:p>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指标</w:t>
            </w:r>
          </w:p>
        </w:tc>
        <w:tc>
          <w:tcPr>
            <w:tcW w:w="1295"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工业增加值</w:t>
            </w:r>
          </w:p>
        </w:tc>
        <w:tc>
          <w:tcPr>
            <w:tcW w:w="1171" w:type="dxa"/>
            <w:gridSpan w:val="2"/>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增加值增长8%</w:t>
            </w:r>
          </w:p>
        </w:tc>
        <w:tc>
          <w:tcPr>
            <w:tcW w:w="1318" w:type="dxa"/>
            <w:gridSpan w:val="2"/>
            <w:vAlign w:val="center"/>
          </w:tcPr>
          <w:p>
            <w:pPr>
              <w:widowControl/>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18.1%</w:t>
            </w:r>
          </w:p>
        </w:tc>
        <w:tc>
          <w:tcPr>
            <w:tcW w:w="936" w:type="dxa"/>
            <w:vAlign w:val="center"/>
          </w:tcPr>
          <w:p>
            <w:pPr>
              <w:widowControl/>
              <w:jc w:val="center"/>
              <w:textAlignment w:val="center"/>
              <w:rPr>
                <w:rFonts w:hint="eastAsia" w:asciiTheme="minorEastAsia" w:hAnsiTheme="minorEastAsia" w:eastAsiaTheme="minorEastAsia" w:cstheme="minorEastAsia"/>
                <w:color w:val="auto"/>
                <w:kern w:val="0"/>
                <w:sz w:val="21"/>
                <w:szCs w:val="21"/>
                <w:highlight w:val="none"/>
                <w:lang w:bidi="ar"/>
              </w:rPr>
            </w:pPr>
            <w:r>
              <w:rPr>
                <w:rFonts w:hint="eastAsia" w:asciiTheme="minorEastAsia" w:hAnsiTheme="minorEastAsia" w:eastAsiaTheme="minorEastAsia" w:cstheme="minorEastAsia"/>
                <w:color w:val="auto"/>
                <w:kern w:val="0"/>
                <w:sz w:val="21"/>
                <w:szCs w:val="21"/>
                <w:highlight w:val="none"/>
                <w:lang w:bidi="ar"/>
              </w:rPr>
              <w:t>5</w:t>
            </w:r>
          </w:p>
        </w:tc>
        <w:tc>
          <w:tcPr>
            <w:tcW w:w="857"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5</w:t>
            </w:r>
          </w:p>
        </w:tc>
        <w:tc>
          <w:tcPr>
            <w:tcW w:w="1153"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56" w:type="dxa"/>
            <w:vMerge w:val="continue"/>
            <w:vAlign w:val="center"/>
          </w:tcPr>
          <w:p>
            <w:pPr>
              <w:spacing w:line="260" w:lineRule="exact"/>
              <w:jc w:val="left"/>
              <w:rPr>
                <w:rFonts w:hint="eastAsia" w:asciiTheme="minorEastAsia" w:hAnsiTheme="minorEastAsia" w:eastAsiaTheme="minorEastAsia" w:cstheme="minorEastAsia"/>
                <w:b/>
                <w:bCs/>
                <w:color w:val="auto"/>
                <w:sz w:val="21"/>
                <w:szCs w:val="21"/>
                <w:highlight w:val="none"/>
              </w:rPr>
            </w:pPr>
          </w:p>
        </w:tc>
        <w:tc>
          <w:tcPr>
            <w:tcW w:w="1125" w:type="dxa"/>
            <w:vMerge w:val="continue"/>
            <w:vAlign w:val="center"/>
          </w:tcPr>
          <w:p>
            <w:pPr>
              <w:spacing w:line="260" w:lineRule="exact"/>
              <w:jc w:val="center"/>
              <w:rPr>
                <w:rFonts w:hint="eastAsia" w:asciiTheme="minorEastAsia" w:hAnsiTheme="minorEastAsia" w:eastAsiaTheme="minorEastAsia" w:cstheme="minorEastAsia"/>
                <w:b/>
                <w:bCs/>
                <w:color w:val="auto"/>
                <w:sz w:val="21"/>
                <w:szCs w:val="21"/>
                <w:highlight w:val="none"/>
              </w:rPr>
            </w:pPr>
          </w:p>
        </w:tc>
        <w:tc>
          <w:tcPr>
            <w:tcW w:w="1074" w:type="dxa"/>
            <w:vMerge w:val="continue"/>
            <w:vAlign w:val="center"/>
          </w:tcPr>
          <w:p>
            <w:pPr>
              <w:spacing w:line="260" w:lineRule="exact"/>
              <w:jc w:val="center"/>
              <w:rPr>
                <w:rFonts w:hint="eastAsia" w:asciiTheme="minorEastAsia" w:hAnsiTheme="minorEastAsia" w:eastAsiaTheme="minorEastAsia" w:cstheme="minorEastAsia"/>
                <w:b/>
                <w:bCs/>
                <w:color w:val="auto"/>
                <w:sz w:val="21"/>
                <w:szCs w:val="21"/>
                <w:highlight w:val="none"/>
              </w:rPr>
            </w:pPr>
          </w:p>
        </w:tc>
        <w:tc>
          <w:tcPr>
            <w:tcW w:w="1295"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新增入规企业</w:t>
            </w:r>
          </w:p>
        </w:tc>
        <w:tc>
          <w:tcPr>
            <w:tcW w:w="1171" w:type="dxa"/>
            <w:gridSpan w:val="2"/>
            <w:vAlign w:val="center"/>
          </w:tcPr>
          <w:p>
            <w:pPr>
              <w:widowControl/>
              <w:jc w:val="center"/>
              <w:textAlignment w:val="center"/>
              <w:rPr>
                <w:rFonts w:hint="eastAsia" w:asciiTheme="minorEastAsia" w:hAnsiTheme="minorEastAsia" w:eastAsiaTheme="minorEastAsia" w:cstheme="minorEastAsia"/>
                <w:color w:val="auto"/>
                <w:kern w:val="0"/>
                <w:sz w:val="21"/>
                <w:szCs w:val="21"/>
                <w:highlight w:val="none"/>
                <w:lang w:bidi="ar"/>
              </w:rPr>
            </w:pPr>
            <w:r>
              <w:rPr>
                <w:rFonts w:hint="eastAsia" w:asciiTheme="minorEastAsia" w:hAnsiTheme="minorEastAsia" w:eastAsiaTheme="minorEastAsia" w:cstheme="minorEastAsia"/>
                <w:color w:val="auto"/>
                <w:kern w:val="0"/>
                <w:sz w:val="21"/>
                <w:szCs w:val="21"/>
                <w:highlight w:val="none"/>
                <w:lang w:bidi="ar"/>
              </w:rPr>
              <w:t>达</w:t>
            </w:r>
            <w:r>
              <w:rPr>
                <w:rFonts w:hint="eastAsia" w:asciiTheme="minorEastAsia" w:hAnsiTheme="minorEastAsia" w:eastAsiaTheme="minorEastAsia" w:cstheme="minorEastAsia"/>
                <w:color w:val="auto"/>
                <w:kern w:val="0"/>
                <w:sz w:val="21"/>
                <w:szCs w:val="21"/>
                <w:highlight w:val="none"/>
                <w:lang w:val="en-US" w:eastAsia="zh-CN" w:bidi="ar"/>
              </w:rPr>
              <w:t>35</w:t>
            </w:r>
            <w:r>
              <w:rPr>
                <w:rFonts w:hint="eastAsia" w:asciiTheme="minorEastAsia" w:hAnsiTheme="minorEastAsia" w:eastAsiaTheme="minorEastAsia" w:cstheme="minorEastAsia"/>
                <w:color w:val="auto"/>
                <w:kern w:val="0"/>
                <w:sz w:val="21"/>
                <w:szCs w:val="21"/>
                <w:highlight w:val="none"/>
                <w:lang w:bidi="ar"/>
              </w:rPr>
              <w:t>家</w:t>
            </w:r>
          </w:p>
        </w:tc>
        <w:tc>
          <w:tcPr>
            <w:tcW w:w="1318" w:type="dxa"/>
            <w:gridSpan w:val="2"/>
            <w:vAlign w:val="center"/>
          </w:tcPr>
          <w:p>
            <w:pPr>
              <w:widowControl/>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45</w:t>
            </w:r>
            <w:r>
              <w:rPr>
                <w:rFonts w:hint="eastAsia" w:asciiTheme="minorEastAsia" w:hAnsiTheme="minorEastAsia" w:eastAsiaTheme="minorEastAsia" w:cstheme="minorEastAsia"/>
                <w:color w:val="auto"/>
                <w:kern w:val="0"/>
                <w:sz w:val="21"/>
                <w:szCs w:val="21"/>
                <w:highlight w:val="none"/>
                <w:lang w:bidi="ar"/>
              </w:rPr>
              <w:t>家</w:t>
            </w:r>
            <w:r>
              <w:rPr>
                <w:rFonts w:hint="eastAsia" w:asciiTheme="minorEastAsia" w:hAnsiTheme="minorEastAsia" w:eastAsiaTheme="minorEastAsia" w:cstheme="minorEastAsia"/>
                <w:color w:val="auto"/>
                <w:kern w:val="0"/>
                <w:sz w:val="21"/>
                <w:szCs w:val="21"/>
                <w:highlight w:val="none"/>
                <w:lang w:val="en-US" w:eastAsia="zh-CN" w:bidi="ar"/>
              </w:rPr>
              <w:t>以上</w:t>
            </w:r>
          </w:p>
        </w:tc>
        <w:tc>
          <w:tcPr>
            <w:tcW w:w="936"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w:t>
            </w:r>
          </w:p>
        </w:tc>
        <w:tc>
          <w:tcPr>
            <w:tcW w:w="857" w:type="dxa"/>
            <w:vAlign w:val="center"/>
          </w:tcPr>
          <w:p>
            <w:pPr>
              <w:widowControl/>
              <w:jc w:val="center"/>
              <w:textAlignment w:val="center"/>
              <w:rPr>
                <w:rFonts w:hint="eastAsia" w:asciiTheme="minorEastAsia" w:hAnsiTheme="minorEastAsia" w:eastAsiaTheme="minorEastAsia" w:cstheme="minorEastAsia"/>
                <w:color w:val="auto"/>
                <w:kern w:val="0"/>
                <w:sz w:val="21"/>
                <w:szCs w:val="21"/>
                <w:highlight w:val="none"/>
                <w:lang w:bidi="ar"/>
              </w:rPr>
            </w:pPr>
            <w:r>
              <w:rPr>
                <w:rFonts w:hint="eastAsia" w:asciiTheme="minorEastAsia" w:hAnsiTheme="minorEastAsia" w:eastAsiaTheme="minorEastAsia" w:cstheme="minorEastAsia"/>
                <w:color w:val="auto"/>
                <w:kern w:val="0"/>
                <w:sz w:val="21"/>
                <w:szCs w:val="21"/>
                <w:highlight w:val="none"/>
                <w:lang w:bidi="ar"/>
              </w:rPr>
              <w:t>5</w:t>
            </w:r>
          </w:p>
        </w:tc>
        <w:tc>
          <w:tcPr>
            <w:tcW w:w="1153" w:type="dxa"/>
            <w:vAlign w:val="center"/>
          </w:tcPr>
          <w:p>
            <w:pPr>
              <w:widowControl/>
              <w:jc w:val="center"/>
              <w:textAlignment w:val="center"/>
              <w:rPr>
                <w:rFonts w:hint="eastAsia" w:asciiTheme="minorEastAsia" w:hAnsiTheme="minorEastAsia" w:eastAsiaTheme="minorEastAsia" w:cstheme="minorEastAsia"/>
                <w:color w:val="auto"/>
                <w:kern w:val="0"/>
                <w:sz w:val="21"/>
                <w:szCs w:val="21"/>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56" w:type="dxa"/>
            <w:vMerge w:val="continue"/>
            <w:vAlign w:val="center"/>
          </w:tcPr>
          <w:p>
            <w:pPr>
              <w:spacing w:line="260" w:lineRule="exact"/>
              <w:jc w:val="left"/>
              <w:rPr>
                <w:rFonts w:hint="eastAsia" w:asciiTheme="minorEastAsia" w:hAnsiTheme="minorEastAsia" w:eastAsiaTheme="minorEastAsia" w:cstheme="minorEastAsia"/>
                <w:b/>
                <w:bCs/>
                <w:color w:val="auto"/>
                <w:sz w:val="21"/>
                <w:szCs w:val="21"/>
                <w:highlight w:val="none"/>
              </w:rPr>
            </w:pPr>
          </w:p>
        </w:tc>
        <w:tc>
          <w:tcPr>
            <w:tcW w:w="1125" w:type="dxa"/>
            <w:vMerge w:val="continue"/>
            <w:vAlign w:val="center"/>
          </w:tcPr>
          <w:p>
            <w:pPr>
              <w:spacing w:line="260" w:lineRule="exact"/>
              <w:jc w:val="center"/>
              <w:rPr>
                <w:rFonts w:hint="eastAsia" w:asciiTheme="minorEastAsia" w:hAnsiTheme="minorEastAsia" w:eastAsiaTheme="minorEastAsia" w:cstheme="minorEastAsia"/>
                <w:b/>
                <w:bCs/>
                <w:color w:val="auto"/>
                <w:sz w:val="21"/>
                <w:szCs w:val="21"/>
                <w:highlight w:val="none"/>
              </w:rPr>
            </w:pPr>
          </w:p>
        </w:tc>
        <w:tc>
          <w:tcPr>
            <w:tcW w:w="1074" w:type="dxa"/>
            <w:vMerge w:val="continue"/>
            <w:vAlign w:val="center"/>
          </w:tcPr>
          <w:p>
            <w:pPr>
              <w:spacing w:line="260" w:lineRule="exact"/>
              <w:jc w:val="center"/>
              <w:rPr>
                <w:rFonts w:hint="eastAsia" w:asciiTheme="minorEastAsia" w:hAnsiTheme="minorEastAsia" w:eastAsiaTheme="minorEastAsia" w:cstheme="minorEastAsia"/>
                <w:b/>
                <w:bCs/>
                <w:color w:val="auto"/>
                <w:sz w:val="21"/>
                <w:szCs w:val="21"/>
                <w:highlight w:val="none"/>
              </w:rPr>
            </w:pPr>
          </w:p>
        </w:tc>
        <w:tc>
          <w:tcPr>
            <w:tcW w:w="1295" w:type="dxa"/>
            <w:vAlign w:val="center"/>
          </w:tcPr>
          <w:p>
            <w:pPr>
              <w:widowControl/>
              <w:jc w:val="center"/>
              <w:textAlignment w:val="center"/>
              <w:rPr>
                <w:rFonts w:hint="eastAsia" w:asciiTheme="minorEastAsia" w:hAnsiTheme="minorEastAsia" w:eastAsiaTheme="minorEastAsia" w:cstheme="minorEastAsia"/>
                <w:color w:val="auto"/>
                <w:kern w:val="0"/>
                <w:sz w:val="21"/>
                <w:szCs w:val="21"/>
                <w:highlight w:val="none"/>
                <w:lang w:bidi="ar"/>
              </w:rPr>
            </w:pPr>
            <w:r>
              <w:rPr>
                <w:rFonts w:hint="eastAsia" w:asciiTheme="minorEastAsia" w:hAnsiTheme="minorEastAsia" w:eastAsiaTheme="minorEastAsia" w:cstheme="minorEastAsia"/>
                <w:color w:val="auto"/>
                <w:kern w:val="0"/>
                <w:sz w:val="21"/>
                <w:szCs w:val="21"/>
                <w:highlight w:val="none"/>
                <w:lang w:bidi="ar"/>
              </w:rPr>
              <w:t>招商引资项目</w:t>
            </w:r>
          </w:p>
        </w:tc>
        <w:tc>
          <w:tcPr>
            <w:tcW w:w="1171" w:type="dxa"/>
            <w:gridSpan w:val="2"/>
            <w:vAlign w:val="center"/>
          </w:tcPr>
          <w:p>
            <w:pPr>
              <w:widowControl/>
              <w:jc w:val="center"/>
              <w:textAlignment w:val="center"/>
              <w:rPr>
                <w:rFonts w:hint="eastAsia" w:asciiTheme="minorEastAsia" w:hAnsiTheme="minorEastAsia" w:eastAsiaTheme="minorEastAsia" w:cstheme="minorEastAsia"/>
                <w:color w:val="auto"/>
                <w:kern w:val="0"/>
                <w:sz w:val="21"/>
                <w:szCs w:val="21"/>
                <w:highlight w:val="none"/>
                <w:lang w:bidi="ar"/>
              </w:rPr>
            </w:pPr>
            <w:r>
              <w:rPr>
                <w:rFonts w:hint="eastAsia" w:asciiTheme="minorEastAsia" w:hAnsiTheme="minorEastAsia" w:eastAsiaTheme="minorEastAsia" w:cstheme="minorEastAsia"/>
                <w:color w:val="auto"/>
                <w:kern w:val="0"/>
                <w:sz w:val="21"/>
                <w:szCs w:val="21"/>
                <w:highlight w:val="none"/>
                <w:lang w:bidi="ar"/>
              </w:rPr>
              <w:t>30个</w:t>
            </w:r>
          </w:p>
        </w:tc>
        <w:tc>
          <w:tcPr>
            <w:tcW w:w="1318" w:type="dxa"/>
            <w:gridSpan w:val="2"/>
            <w:vAlign w:val="center"/>
          </w:tcPr>
          <w:p>
            <w:pPr>
              <w:widowControl/>
              <w:jc w:val="center"/>
              <w:textAlignment w:val="center"/>
              <w:rPr>
                <w:rFonts w:hint="eastAsia" w:asciiTheme="minorEastAsia" w:hAnsiTheme="minorEastAsia" w:eastAsiaTheme="minorEastAsia" w:cstheme="minorEastAsia"/>
                <w:color w:val="auto"/>
                <w:kern w:val="0"/>
                <w:sz w:val="21"/>
                <w:szCs w:val="21"/>
                <w:highlight w:val="none"/>
                <w:lang w:bidi="ar"/>
              </w:rPr>
            </w:pPr>
            <w:r>
              <w:rPr>
                <w:rFonts w:hint="eastAsia" w:asciiTheme="minorEastAsia" w:hAnsiTheme="minorEastAsia" w:eastAsiaTheme="minorEastAsia" w:cstheme="minorEastAsia"/>
                <w:color w:val="auto"/>
                <w:kern w:val="0"/>
                <w:sz w:val="21"/>
                <w:szCs w:val="21"/>
                <w:highlight w:val="none"/>
                <w:lang w:val="en-US" w:eastAsia="zh-CN" w:bidi="ar"/>
              </w:rPr>
              <w:t>39</w:t>
            </w:r>
            <w:r>
              <w:rPr>
                <w:rFonts w:hint="eastAsia" w:asciiTheme="minorEastAsia" w:hAnsiTheme="minorEastAsia" w:eastAsiaTheme="minorEastAsia" w:cstheme="minorEastAsia"/>
                <w:color w:val="auto"/>
                <w:kern w:val="0"/>
                <w:sz w:val="21"/>
                <w:szCs w:val="21"/>
                <w:highlight w:val="none"/>
                <w:lang w:bidi="ar"/>
              </w:rPr>
              <w:t>个</w:t>
            </w:r>
          </w:p>
        </w:tc>
        <w:tc>
          <w:tcPr>
            <w:tcW w:w="936"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val="en-US" w:eastAsia="zh-CN"/>
              </w:rPr>
              <w:t>2</w:t>
            </w:r>
          </w:p>
        </w:tc>
        <w:tc>
          <w:tcPr>
            <w:tcW w:w="857" w:type="dxa"/>
            <w:vAlign w:val="center"/>
          </w:tcPr>
          <w:p>
            <w:pPr>
              <w:widowControl/>
              <w:jc w:val="center"/>
              <w:textAlignment w:val="center"/>
              <w:rPr>
                <w:rFonts w:hint="eastAsia" w:asciiTheme="minorEastAsia" w:hAnsiTheme="minorEastAsia" w:eastAsiaTheme="minorEastAsia" w:cstheme="minorEastAsia"/>
                <w:color w:val="auto"/>
                <w:kern w:val="0"/>
                <w:sz w:val="21"/>
                <w:szCs w:val="21"/>
                <w:highlight w:val="none"/>
                <w:lang w:eastAsia="zh-CN" w:bidi="ar"/>
              </w:rPr>
            </w:pPr>
            <w:r>
              <w:rPr>
                <w:rFonts w:hint="eastAsia" w:asciiTheme="minorEastAsia" w:hAnsiTheme="minorEastAsia" w:eastAsiaTheme="minorEastAsia" w:cstheme="minorEastAsia"/>
                <w:color w:val="auto"/>
                <w:kern w:val="0"/>
                <w:sz w:val="21"/>
                <w:szCs w:val="21"/>
                <w:highlight w:val="none"/>
                <w:lang w:val="en-US" w:eastAsia="zh-CN" w:bidi="ar"/>
              </w:rPr>
              <w:t>2</w:t>
            </w:r>
          </w:p>
        </w:tc>
        <w:tc>
          <w:tcPr>
            <w:tcW w:w="1153" w:type="dxa"/>
            <w:vAlign w:val="center"/>
          </w:tcPr>
          <w:p>
            <w:pPr>
              <w:widowControl/>
              <w:jc w:val="center"/>
              <w:textAlignment w:val="center"/>
              <w:rPr>
                <w:rFonts w:hint="eastAsia" w:asciiTheme="minorEastAsia" w:hAnsiTheme="minorEastAsia" w:eastAsiaTheme="minorEastAsia" w:cstheme="minorEastAsia"/>
                <w:color w:val="auto"/>
                <w:kern w:val="0"/>
                <w:sz w:val="21"/>
                <w:szCs w:val="21"/>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56" w:type="dxa"/>
            <w:vMerge w:val="continue"/>
            <w:vAlign w:val="center"/>
          </w:tcPr>
          <w:p>
            <w:pPr>
              <w:spacing w:line="260" w:lineRule="exact"/>
              <w:jc w:val="left"/>
              <w:rPr>
                <w:rFonts w:hint="eastAsia" w:asciiTheme="minorEastAsia" w:hAnsiTheme="minorEastAsia" w:eastAsiaTheme="minorEastAsia" w:cstheme="minorEastAsia"/>
                <w:b/>
                <w:bCs/>
                <w:color w:val="auto"/>
                <w:sz w:val="21"/>
                <w:szCs w:val="21"/>
                <w:highlight w:val="none"/>
              </w:rPr>
            </w:pPr>
          </w:p>
        </w:tc>
        <w:tc>
          <w:tcPr>
            <w:tcW w:w="1125" w:type="dxa"/>
            <w:vMerge w:val="continue"/>
            <w:vAlign w:val="center"/>
          </w:tcPr>
          <w:p>
            <w:pPr>
              <w:spacing w:line="260" w:lineRule="exact"/>
              <w:jc w:val="center"/>
              <w:rPr>
                <w:rFonts w:hint="eastAsia" w:asciiTheme="minorEastAsia" w:hAnsiTheme="minorEastAsia" w:eastAsiaTheme="minorEastAsia" w:cstheme="minorEastAsia"/>
                <w:b/>
                <w:bCs/>
                <w:color w:val="auto"/>
                <w:sz w:val="21"/>
                <w:szCs w:val="21"/>
                <w:highlight w:val="none"/>
              </w:rPr>
            </w:pPr>
          </w:p>
        </w:tc>
        <w:tc>
          <w:tcPr>
            <w:tcW w:w="1074" w:type="dxa"/>
            <w:vMerge w:val="continue"/>
            <w:vAlign w:val="center"/>
          </w:tcPr>
          <w:p>
            <w:pPr>
              <w:spacing w:line="260" w:lineRule="exact"/>
              <w:jc w:val="center"/>
              <w:rPr>
                <w:rFonts w:hint="eastAsia" w:asciiTheme="minorEastAsia" w:hAnsiTheme="minorEastAsia" w:eastAsiaTheme="minorEastAsia" w:cstheme="minorEastAsia"/>
                <w:b/>
                <w:bCs/>
                <w:color w:val="auto"/>
                <w:sz w:val="21"/>
                <w:szCs w:val="21"/>
                <w:highlight w:val="none"/>
              </w:rPr>
            </w:pPr>
          </w:p>
        </w:tc>
        <w:tc>
          <w:tcPr>
            <w:tcW w:w="1295" w:type="dxa"/>
            <w:vAlign w:val="center"/>
          </w:tcPr>
          <w:p>
            <w:pPr>
              <w:widowControl/>
              <w:jc w:val="center"/>
              <w:textAlignment w:val="center"/>
              <w:rPr>
                <w:rFonts w:hint="eastAsia" w:asciiTheme="minorEastAsia" w:hAnsiTheme="minorEastAsia" w:eastAsiaTheme="minorEastAsia" w:cstheme="minorEastAsia"/>
                <w:color w:val="auto"/>
                <w:kern w:val="0"/>
                <w:sz w:val="21"/>
                <w:szCs w:val="21"/>
                <w:highlight w:val="none"/>
                <w:lang w:bidi="ar"/>
              </w:rPr>
            </w:pPr>
            <w:r>
              <w:rPr>
                <w:rFonts w:hint="eastAsia" w:asciiTheme="minorEastAsia" w:hAnsiTheme="minorEastAsia" w:eastAsiaTheme="minorEastAsia" w:cstheme="minorEastAsia"/>
                <w:color w:val="auto"/>
                <w:kern w:val="0"/>
                <w:sz w:val="21"/>
                <w:szCs w:val="21"/>
                <w:highlight w:val="none"/>
                <w:lang w:bidi="ar"/>
              </w:rPr>
              <w:t>完成工业投资</w:t>
            </w:r>
          </w:p>
        </w:tc>
        <w:tc>
          <w:tcPr>
            <w:tcW w:w="1171" w:type="dxa"/>
            <w:gridSpan w:val="2"/>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val="en-US" w:eastAsia="zh-CN" w:bidi="ar"/>
              </w:rPr>
              <w:t>80</w:t>
            </w:r>
            <w:r>
              <w:rPr>
                <w:rFonts w:hint="eastAsia" w:asciiTheme="minorEastAsia" w:hAnsiTheme="minorEastAsia" w:eastAsiaTheme="minorEastAsia" w:cstheme="minorEastAsia"/>
                <w:color w:val="auto"/>
                <w:kern w:val="0"/>
                <w:sz w:val="21"/>
                <w:szCs w:val="21"/>
                <w:highlight w:val="none"/>
                <w:lang w:bidi="ar"/>
              </w:rPr>
              <w:t>亿</w:t>
            </w:r>
          </w:p>
        </w:tc>
        <w:tc>
          <w:tcPr>
            <w:tcW w:w="1318" w:type="dxa"/>
            <w:gridSpan w:val="2"/>
            <w:vAlign w:val="center"/>
          </w:tcPr>
          <w:p>
            <w:pPr>
              <w:widowControl/>
              <w:jc w:val="center"/>
              <w:textAlignment w:val="center"/>
              <w:rPr>
                <w:rFonts w:hint="eastAsia" w:asciiTheme="minorEastAsia" w:hAnsiTheme="minorEastAsia" w:eastAsiaTheme="minorEastAsia" w:cstheme="minorEastAsia"/>
                <w:color w:val="auto"/>
                <w:kern w:val="0"/>
                <w:sz w:val="21"/>
                <w:szCs w:val="21"/>
                <w:highlight w:val="none"/>
                <w:lang w:bidi="ar"/>
              </w:rPr>
            </w:pPr>
            <w:r>
              <w:rPr>
                <w:rFonts w:hint="eastAsia" w:asciiTheme="minorEastAsia" w:hAnsiTheme="minorEastAsia" w:eastAsiaTheme="minorEastAsia" w:cstheme="minorEastAsia"/>
                <w:color w:val="auto"/>
                <w:kern w:val="0"/>
                <w:sz w:val="21"/>
                <w:szCs w:val="21"/>
                <w:highlight w:val="none"/>
                <w:lang w:val="en-US" w:eastAsia="zh-CN" w:bidi="ar"/>
              </w:rPr>
              <w:t>80.1</w:t>
            </w:r>
            <w:r>
              <w:rPr>
                <w:rFonts w:hint="eastAsia" w:asciiTheme="minorEastAsia" w:hAnsiTheme="minorEastAsia" w:eastAsiaTheme="minorEastAsia" w:cstheme="minorEastAsia"/>
                <w:color w:val="auto"/>
                <w:kern w:val="0"/>
                <w:sz w:val="21"/>
                <w:szCs w:val="21"/>
                <w:highlight w:val="none"/>
                <w:lang w:bidi="ar"/>
              </w:rPr>
              <w:t>亿元</w:t>
            </w:r>
          </w:p>
        </w:tc>
        <w:tc>
          <w:tcPr>
            <w:tcW w:w="936"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w:t>
            </w:r>
          </w:p>
        </w:tc>
        <w:tc>
          <w:tcPr>
            <w:tcW w:w="857"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3</w:t>
            </w:r>
          </w:p>
        </w:tc>
        <w:tc>
          <w:tcPr>
            <w:tcW w:w="1153"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56" w:type="dxa"/>
            <w:vMerge w:val="continue"/>
            <w:vAlign w:val="center"/>
          </w:tcPr>
          <w:p>
            <w:pPr>
              <w:spacing w:line="260" w:lineRule="exact"/>
              <w:jc w:val="left"/>
              <w:rPr>
                <w:rFonts w:hint="eastAsia" w:asciiTheme="minorEastAsia" w:hAnsiTheme="minorEastAsia" w:eastAsiaTheme="minorEastAsia" w:cstheme="minorEastAsia"/>
                <w:b/>
                <w:bCs/>
                <w:color w:val="auto"/>
                <w:sz w:val="21"/>
                <w:szCs w:val="21"/>
                <w:highlight w:val="none"/>
              </w:rPr>
            </w:pPr>
          </w:p>
        </w:tc>
        <w:tc>
          <w:tcPr>
            <w:tcW w:w="1125" w:type="dxa"/>
            <w:vMerge w:val="continue"/>
            <w:vAlign w:val="center"/>
          </w:tcPr>
          <w:p>
            <w:pPr>
              <w:spacing w:line="260" w:lineRule="exact"/>
              <w:jc w:val="left"/>
              <w:rPr>
                <w:rFonts w:hint="eastAsia" w:asciiTheme="minorEastAsia" w:hAnsiTheme="minorEastAsia" w:eastAsiaTheme="minorEastAsia" w:cstheme="minorEastAsia"/>
                <w:b/>
                <w:bCs/>
                <w:color w:val="auto"/>
                <w:sz w:val="21"/>
                <w:szCs w:val="21"/>
                <w:highlight w:val="none"/>
              </w:rPr>
            </w:pPr>
          </w:p>
        </w:tc>
        <w:tc>
          <w:tcPr>
            <w:tcW w:w="1074" w:type="dxa"/>
            <w:vMerge w:val="restart"/>
            <w:vAlign w:val="center"/>
          </w:tcPr>
          <w:p>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质量</w:t>
            </w:r>
          </w:p>
          <w:p>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指标</w:t>
            </w:r>
          </w:p>
        </w:tc>
        <w:tc>
          <w:tcPr>
            <w:tcW w:w="1295"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预算资金使用到位率</w:t>
            </w:r>
          </w:p>
        </w:tc>
        <w:tc>
          <w:tcPr>
            <w:tcW w:w="1171" w:type="dxa"/>
            <w:gridSpan w:val="2"/>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100%</w:t>
            </w:r>
          </w:p>
        </w:tc>
        <w:tc>
          <w:tcPr>
            <w:tcW w:w="1318" w:type="dxa"/>
            <w:gridSpan w:val="2"/>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100%</w:t>
            </w:r>
          </w:p>
        </w:tc>
        <w:tc>
          <w:tcPr>
            <w:tcW w:w="936"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kern w:val="0"/>
                <w:sz w:val="21"/>
                <w:szCs w:val="21"/>
                <w:highlight w:val="none"/>
                <w:lang w:val="en-US" w:eastAsia="zh-CN" w:bidi="ar"/>
              </w:rPr>
              <w:t>5</w:t>
            </w:r>
          </w:p>
        </w:tc>
        <w:tc>
          <w:tcPr>
            <w:tcW w:w="857"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kern w:val="0"/>
                <w:sz w:val="21"/>
                <w:szCs w:val="21"/>
                <w:highlight w:val="none"/>
                <w:lang w:val="en-US" w:eastAsia="zh-CN" w:bidi="ar"/>
              </w:rPr>
              <w:t>5</w:t>
            </w:r>
          </w:p>
        </w:tc>
        <w:tc>
          <w:tcPr>
            <w:tcW w:w="1153"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56" w:type="dxa"/>
            <w:vMerge w:val="continue"/>
            <w:vAlign w:val="center"/>
          </w:tcPr>
          <w:p>
            <w:pPr>
              <w:spacing w:line="260" w:lineRule="exact"/>
              <w:jc w:val="left"/>
              <w:rPr>
                <w:rFonts w:hint="eastAsia" w:asciiTheme="minorEastAsia" w:hAnsiTheme="minorEastAsia" w:eastAsiaTheme="minorEastAsia" w:cstheme="minorEastAsia"/>
                <w:color w:val="auto"/>
                <w:sz w:val="21"/>
                <w:szCs w:val="21"/>
                <w:highlight w:val="none"/>
              </w:rPr>
            </w:pPr>
          </w:p>
        </w:tc>
        <w:tc>
          <w:tcPr>
            <w:tcW w:w="1125" w:type="dxa"/>
            <w:vMerge w:val="continue"/>
            <w:vAlign w:val="center"/>
          </w:tcPr>
          <w:p>
            <w:pPr>
              <w:spacing w:line="260" w:lineRule="exact"/>
              <w:jc w:val="left"/>
              <w:rPr>
                <w:rFonts w:hint="eastAsia" w:asciiTheme="minorEastAsia" w:hAnsiTheme="minorEastAsia" w:eastAsiaTheme="minorEastAsia" w:cstheme="minorEastAsia"/>
                <w:color w:val="auto"/>
                <w:sz w:val="21"/>
                <w:szCs w:val="21"/>
                <w:highlight w:val="none"/>
              </w:rPr>
            </w:pPr>
          </w:p>
        </w:tc>
        <w:tc>
          <w:tcPr>
            <w:tcW w:w="1074" w:type="dxa"/>
            <w:vMerge w:val="continue"/>
            <w:vAlign w:val="center"/>
          </w:tcPr>
          <w:p>
            <w:pPr>
              <w:spacing w:line="260" w:lineRule="exact"/>
              <w:jc w:val="center"/>
              <w:rPr>
                <w:rFonts w:hint="eastAsia" w:asciiTheme="minorEastAsia" w:hAnsiTheme="minorEastAsia" w:eastAsiaTheme="minorEastAsia" w:cstheme="minorEastAsia"/>
                <w:color w:val="auto"/>
                <w:sz w:val="21"/>
                <w:szCs w:val="21"/>
                <w:highlight w:val="none"/>
              </w:rPr>
            </w:pPr>
          </w:p>
        </w:tc>
        <w:tc>
          <w:tcPr>
            <w:tcW w:w="1295" w:type="dxa"/>
            <w:vAlign w:val="center"/>
          </w:tcPr>
          <w:p>
            <w:pPr>
              <w:widowControl/>
              <w:jc w:val="center"/>
              <w:textAlignment w:val="center"/>
              <w:rPr>
                <w:rFonts w:hint="eastAsia" w:asciiTheme="minorEastAsia" w:hAnsiTheme="minorEastAsia" w:eastAsiaTheme="minorEastAsia" w:cstheme="minorEastAsia"/>
                <w:color w:val="auto"/>
                <w:kern w:val="0"/>
                <w:sz w:val="21"/>
                <w:szCs w:val="21"/>
                <w:highlight w:val="none"/>
                <w:lang w:bidi="ar"/>
              </w:rPr>
            </w:pPr>
            <w:r>
              <w:rPr>
                <w:rFonts w:hint="eastAsia" w:asciiTheme="minorEastAsia" w:hAnsiTheme="minorEastAsia" w:eastAsiaTheme="minorEastAsia" w:cstheme="minorEastAsia"/>
                <w:color w:val="auto"/>
                <w:kern w:val="0"/>
                <w:sz w:val="21"/>
                <w:szCs w:val="21"/>
                <w:highlight w:val="none"/>
                <w:lang w:bidi="ar"/>
              </w:rPr>
              <w:t>营商环境持续优化升级</w:t>
            </w:r>
          </w:p>
        </w:tc>
        <w:tc>
          <w:tcPr>
            <w:tcW w:w="1171" w:type="dxa"/>
            <w:gridSpan w:val="2"/>
            <w:vAlign w:val="center"/>
          </w:tcPr>
          <w:p>
            <w:pPr>
              <w:widowControl/>
              <w:jc w:val="center"/>
              <w:textAlignment w:val="center"/>
              <w:rPr>
                <w:rFonts w:hint="eastAsia" w:asciiTheme="minorEastAsia" w:hAnsiTheme="minorEastAsia" w:eastAsiaTheme="minorEastAsia" w:cstheme="minorEastAsia"/>
                <w:color w:val="auto"/>
                <w:kern w:val="0"/>
                <w:sz w:val="21"/>
                <w:szCs w:val="21"/>
                <w:highlight w:val="none"/>
                <w:lang w:bidi="ar"/>
              </w:rPr>
            </w:pPr>
            <w:r>
              <w:rPr>
                <w:rFonts w:hint="eastAsia" w:asciiTheme="minorEastAsia" w:hAnsiTheme="minorEastAsia" w:eastAsiaTheme="minorEastAsia" w:cstheme="minorEastAsia"/>
                <w:color w:val="auto"/>
                <w:kern w:val="0"/>
                <w:sz w:val="21"/>
                <w:szCs w:val="21"/>
                <w:highlight w:val="none"/>
                <w:lang w:bidi="ar"/>
              </w:rPr>
              <w:t>重要政策落实、产融协同</w:t>
            </w:r>
          </w:p>
        </w:tc>
        <w:tc>
          <w:tcPr>
            <w:tcW w:w="1318" w:type="dxa"/>
            <w:gridSpan w:val="2"/>
            <w:vAlign w:val="center"/>
          </w:tcPr>
          <w:p>
            <w:pPr>
              <w:widowControl/>
              <w:jc w:val="both"/>
              <w:textAlignment w:val="center"/>
              <w:rPr>
                <w:rFonts w:hint="eastAsia" w:asciiTheme="minorEastAsia" w:hAnsiTheme="minorEastAsia" w:eastAsiaTheme="minorEastAsia" w:cstheme="minorEastAsia"/>
                <w:color w:val="auto"/>
                <w:kern w:val="0"/>
                <w:sz w:val="21"/>
                <w:szCs w:val="21"/>
                <w:highlight w:val="none"/>
                <w:lang w:bidi="ar"/>
              </w:rPr>
            </w:pPr>
            <w:r>
              <w:rPr>
                <w:rFonts w:hint="eastAsia" w:asciiTheme="minorEastAsia" w:hAnsiTheme="minorEastAsia" w:eastAsiaTheme="minorEastAsia" w:cstheme="minorEastAsia"/>
                <w:color w:val="auto"/>
                <w:kern w:val="0"/>
                <w:sz w:val="21"/>
                <w:szCs w:val="21"/>
                <w:highlight w:val="none"/>
                <w:lang w:bidi="ar"/>
              </w:rPr>
              <w:t>积极搭建中小企业融资服务平台，完成98笔转贷业务，涉及续贷资金6.16亿元，共计应收综合费68.21万元，实收47.75万元，减免30%。积极协调电价优惠政策，全州工业企业享受电价优惠额度达1.32亿元</w:t>
            </w:r>
          </w:p>
        </w:tc>
        <w:tc>
          <w:tcPr>
            <w:tcW w:w="936"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kern w:val="0"/>
                <w:sz w:val="21"/>
                <w:szCs w:val="21"/>
                <w:highlight w:val="none"/>
                <w:lang w:val="en-US" w:eastAsia="zh-CN" w:bidi="ar"/>
              </w:rPr>
              <w:t>5</w:t>
            </w:r>
          </w:p>
        </w:tc>
        <w:tc>
          <w:tcPr>
            <w:tcW w:w="857"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kern w:val="0"/>
                <w:sz w:val="21"/>
                <w:szCs w:val="21"/>
                <w:highlight w:val="none"/>
                <w:lang w:val="en-US" w:eastAsia="zh-CN" w:bidi="ar"/>
              </w:rPr>
              <w:t>5</w:t>
            </w:r>
          </w:p>
        </w:tc>
        <w:tc>
          <w:tcPr>
            <w:tcW w:w="1153" w:type="dxa"/>
            <w:vAlign w:val="center"/>
          </w:tcPr>
          <w:p>
            <w:pPr>
              <w:widowControl/>
              <w:jc w:val="both"/>
              <w:textAlignment w:val="center"/>
              <w:rPr>
                <w:rFonts w:hint="eastAsia" w:asciiTheme="minorEastAsia" w:hAnsiTheme="minorEastAsia" w:eastAsiaTheme="minorEastAsia" w:cs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56" w:type="dxa"/>
            <w:vMerge w:val="continue"/>
            <w:vAlign w:val="center"/>
          </w:tcPr>
          <w:p>
            <w:pPr>
              <w:spacing w:line="260" w:lineRule="exact"/>
              <w:jc w:val="left"/>
              <w:rPr>
                <w:rFonts w:hint="eastAsia" w:asciiTheme="minorEastAsia" w:hAnsiTheme="minorEastAsia" w:eastAsiaTheme="minorEastAsia" w:cstheme="minorEastAsia"/>
                <w:color w:val="auto"/>
                <w:sz w:val="21"/>
                <w:szCs w:val="21"/>
                <w:highlight w:val="none"/>
              </w:rPr>
            </w:pPr>
          </w:p>
        </w:tc>
        <w:tc>
          <w:tcPr>
            <w:tcW w:w="1125" w:type="dxa"/>
            <w:vMerge w:val="continue"/>
            <w:vAlign w:val="center"/>
          </w:tcPr>
          <w:p>
            <w:pPr>
              <w:spacing w:line="260" w:lineRule="exact"/>
              <w:jc w:val="left"/>
              <w:rPr>
                <w:rFonts w:hint="eastAsia" w:asciiTheme="minorEastAsia" w:hAnsiTheme="minorEastAsia" w:eastAsiaTheme="minorEastAsia" w:cstheme="minorEastAsia"/>
                <w:color w:val="auto"/>
                <w:sz w:val="21"/>
                <w:szCs w:val="21"/>
                <w:highlight w:val="none"/>
              </w:rPr>
            </w:pPr>
          </w:p>
        </w:tc>
        <w:tc>
          <w:tcPr>
            <w:tcW w:w="1074" w:type="dxa"/>
            <w:vMerge w:val="continue"/>
            <w:vAlign w:val="center"/>
          </w:tcPr>
          <w:p>
            <w:pPr>
              <w:spacing w:line="260" w:lineRule="exact"/>
              <w:jc w:val="left"/>
              <w:rPr>
                <w:rFonts w:hint="eastAsia" w:asciiTheme="minorEastAsia" w:hAnsiTheme="minorEastAsia" w:eastAsiaTheme="minorEastAsia" w:cstheme="minorEastAsia"/>
                <w:color w:val="auto"/>
                <w:sz w:val="21"/>
                <w:szCs w:val="21"/>
                <w:highlight w:val="none"/>
              </w:rPr>
            </w:pPr>
          </w:p>
        </w:tc>
        <w:tc>
          <w:tcPr>
            <w:tcW w:w="1295" w:type="dxa"/>
            <w:vAlign w:val="center"/>
          </w:tcPr>
          <w:p>
            <w:pPr>
              <w:widowControl/>
              <w:jc w:val="center"/>
              <w:textAlignment w:val="center"/>
              <w:rPr>
                <w:rFonts w:hint="eastAsia" w:asciiTheme="minorEastAsia" w:hAnsiTheme="minorEastAsia" w:eastAsiaTheme="minorEastAsia" w:cstheme="minorEastAsia"/>
                <w:color w:val="auto"/>
                <w:kern w:val="0"/>
                <w:sz w:val="21"/>
                <w:szCs w:val="21"/>
                <w:highlight w:val="none"/>
                <w:lang w:bidi="ar"/>
              </w:rPr>
            </w:pPr>
            <w:r>
              <w:rPr>
                <w:rFonts w:hint="eastAsia" w:asciiTheme="minorEastAsia" w:hAnsiTheme="minorEastAsia" w:eastAsiaTheme="minorEastAsia" w:cstheme="minorEastAsia"/>
                <w:color w:val="auto"/>
                <w:kern w:val="0"/>
                <w:sz w:val="21"/>
                <w:szCs w:val="21"/>
                <w:highlight w:val="none"/>
                <w:lang w:bidi="ar"/>
              </w:rPr>
              <w:t>优势产业链已形成</w:t>
            </w:r>
          </w:p>
        </w:tc>
        <w:tc>
          <w:tcPr>
            <w:tcW w:w="1171" w:type="dxa"/>
            <w:gridSpan w:val="2"/>
            <w:vAlign w:val="center"/>
          </w:tcPr>
          <w:p>
            <w:pPr>
              <w:widowControl/>
              <w:jc w:val="center"/>
              <w:textAlignment w:val="center"/>
              <w:rPr>
                <w:rFonts w:hint="eastAsia" w:asciiTheme="minorEastAsia" w:hAnsiTheme="minorEastAsia" w:eastAsiaTheme="minorEastAsia" w:cstheme="minorEastAsia"/>
                <w:color w:val="auto"/>
                <w:kern w:val="0"/>
                <w:sz w:val="21"/>
                <w:szCs w:val="21"/>
                <w:highlight w:val="none"/>
                <w:lang w:bidi="ar"/>
              </w:rPr>
            </w:pPr>
            <w:r>
              <w:rPr>
                <w:rFonts w:hint="eastAsia" w:asciiTheme="minorEastAsia" w:hAnsiTheme="minorEastAsia" w:eastAsiaTheme="minorEastAsia" w:cstheme="minorEastAsia"/>
                <w:color w:val="auto"/>
                <w:kern w:val="0"/>
                <w:sz w:val="21"/>
                <w:szCs w:val="21"/>
                <w:highlight w:val="none"/>
                <w:lang w:bidi="ar"/>
              </w:rPr>
              <w:t>白酒、锂电池产业链建设</w:t>
            </w:r>
          </w:p>
        </w:tc>
        <w:tc>
          <w:tcPr>
            <w:tcW w:w="1318" w:type="dxa"/>
            <w:gridSpan w:val="2"/>
            <w:vAlign w:val="center"/>
          </w:tcPr>
          <w:p>
            <w:pPr>
              <w:widowControl/>
              <w:jc w:val="center"/>
              <w:textAlignment w:val="center"/>
              <w:rPr>
                <w:rFonts w:hint="eastAsia" w:asciiTheme="minorEastAsia" w:hAnsiTheme="minorEastAsia" w:eastAsiaTheme="minorEastAsia" w:cstheme="minorEastAsia"/>
                <w:color w:val="auto"/>
                <w:kern w:val="0"/>
                <w:sz w:val="21"/>
                <w:szCs w:val="21"/>
                <w:highlight w:val="none"/>
                <w:lang w:bidi="ar"/>
              </w:rPr>
            </w:pPr>
            <w:r>
              <w:rPr>
                <w:rFonts w:hint="eastAsia" w:asciiTheme="minorEastAsia" w:hAnsiTheme="minorEastAsia" w:eastAsiaTheme="minorEastAsia" w:cstheme="minorEastAsia"/>
                <w:color w:val="auto"/>
                <w:kern w:val="0"/>
                <w:sz w:val="21"/>
                <w:szCs w:val="21"/>
                <w:highlight w:val="none"/>
                <w:lang w:bidi="ar"/>
              </w:rPr>
              <w:t>白酒、锰锌新材料、锂电池、“两茶”产业链分别增长94%、39.5%、38.8%和22.5%，发展势头强劲。</w:t>
            </w:r>
          </w:p>
        </w:tc>
        <w:tc>
          <w:tcPr>
            <w:tcW w:w="936"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3</w:t>
            </w:r>
          </w:p>
        </w:tc>
        <w:tc>
          <w:tcPr>
            <w:tcW w:w="857"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kern w:val="0"/>
                <w:sz w:val="21"/>
                <w:szCs w:val="21"/>
                <w:highlight w:val="none"/>
                <w:lang w:bidi="ar"/>
              </w:rPr>
              <w:t>3</w:t>
            </w:r>
          </w:p>
        </w:tc>
        <w:tc>
          <w:tcPr>
            <w:tcW w:w="1153"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56" w:type="dxa"/>
            <w:vMerge w:val="continue"/>
            <w:vAlign w:val="center"/>
          </w:tcPr>
          <w:p>
            <w:pPr>
              <w:spacing w:line="260" w:lineRule="exact"/>
              <w:jc w:val="left"/>
              <w:rPr>
                <w:rFonts w:hint="eastAsia" w:asciiTheme="minorEastAsia" w:hAnsiTheme="minorEastAsia" w:eastAsiaTheme="minorEastAsia" w:cstheme="minorEastAsia"/>
                <w:color w:val="auto"/>
                <w:sz w:val="21"/>
                <w:szCs w:val="21"/>
                <w:highlight w:val="none"/>
              </w:rPr>
            </w:pPr>
          </w:p>
        </w:tc>
        <w:tc>
          <w:tcPr>
            <w:tcW w:w="1125" w:type="dxa"/>
            <w:vMerge w:val="continue"/>
            <w:vAlign w:val="center"/>
          </w:tcPr>
          <w:p>
            <w:pPr>
              <w:spacing w:line="260" w:lineRule="exact"/>
              <w:jc w:val="left"/>
              <w:rPr>
                <w:rFonts w:hint="eastAsia" w:asciiTheme="minorEastAsia" w:hAnsiTheme="minorEastAsia" w:eastAsiaTheme="minorEastAsia" w:cstheme="minorEastAsia"/>
                <w:color w:val="auto"/>
                <w:sz w:val="21"/>
                <w:szCs w:val="21"/>
                <w:highlight w:val="none"/>
              </w:rPr>
            </w:pPr>
          </w:p>
        </w:tc>
        <w:tc>
          <w:tcPr>
            <w:tcW w:w="1074" w:type="dxa"/>
            <w:vMerge w:val="continue"/>
            <w:vAlign w:val="center"/>
          </w:tcPr>
          <w:p>
            <w:pPr>
              <w:spacing w:line="260" w:lineRule="exact"/>
              <w:jc w:val="left"/>
              <w:rPr>
                <w:rFonts w:hint="eastAsia" w:asciiTheme="minorEastAsia" w:hAnsiTheme="minorEastAsia" w:eastAsiaTheme="minorEastAsia" w:cstheme="minorEastAsia"/>
                <w:color w:val="auto"/>
                <w:sz w:val="21"/>
                <w:szCs w:val="21"/>
                <w:highlight w:val="none"/>
              </w:rPr>
            </w:pPr>
          </w:p>
        </w:tc>
        <w:tc>
          <w:tcPr>
            <w:tcW w:w="1295" w:type="dxa"/>
            <w:vAlign w:val="center"/>
          </w:tcPr>
          <w:p>
            <w:pPr>
              <w:widowControl/>
              <w:jc w:val="center"/>
              <w:textAlignment w:val="center"/>
              <w:rPr>
                <w:rFonts w:hint="eastAsia" w:asciiTheme="minorEastAsia" w:hAnsiTheme="minorEastAsia" w:eastAsiaTheme="minorEastAsia" w:cstheme="minorEastAsia"/>
                <w:color w:val="auto"/>
                <w:kern w:val="0"/>
                <w:sz w:val="21"/>
                <w:szCs w:val="21"/>
                <w:highlight w:val="none"/>
                <w:lang w:bidi="ar"/>
              </w:rPr>
            </w:pPr>
            <w:r>
              <w:rPr>
                <w:rFonts w:hint="eastAsia" w:asciiTheme="minorEastAsia" w:hAnsiTheme="minorEastAsia" w:eastAsiaTheme="minorEastAsia" w:cstheme="minorEastAsia"/>
                <w:color w:val="auto"/>
                <w:kern w:val="0"/>
                <w:sz w:val="21"/>
                <w:szCs w:val="21"/>
                <w:highlight w:val="none"/>
                <w:lang w:bidi="ar"/>
              </w:rPr>
              <w:t>绩效目标合理性</w:t>
            </w:r>
          </w:p>
        </w:tc>
        <w:tc>
          <w:tcPr>
            <w:tcW w:w="1171" w:type="dxa"/>
            <w:gridSpan w:val="2"/>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合理</w:t>
            </w:r>
          </w:p>
        </w:tc>
        <w:tc>
          <w:tcPr>
            <w:tcW w:w="1318" w:type="dxa"/>
            <w:gridSpan w:val="2"/>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合理</w:t>
            </w:r>
          </w:p>
        </w:tc>
        <w:tc>
          <w:tcPr>
            <w:tcW w:w="936"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kern w:val="0"/>
                <w:sz w:val="21"/>
                <w:szCs w:val="21"/>
                <w:highlight w:val="none"/>
                <w:lang w:val="en-US" w:eastAsia="zh-CN" w:bidi="ar"/>
              </w:rPr>
              <w:t>2</w:t>
            </w:r>
          </w:p>
        </w:tc>
        <w:tc>
          <w:tcPr>
            <w:tcW w:w="857"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kern w:val="0"/>
                <w:sz w:val="21"/>
                <w:szCs w:val="21"/>
                <w:highlight w:val="none"/>
                <w:lang w:val="en-US" w:eastAsia="zh-CN" w:bidi="ar"/>
              </w:rPr>
              <w:t>2</w:t>
            </w:r>
          </w:p>
        </w:tc>
        <w:tc>
          <w:tcPr>
            <w:tcW w:w="1153"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956" w:type="dxa"/>
            <w:vMerge w:val="continue"/>
            <w:vAlign w:val="center"/>
          </w:tcPr>
          <w:p>
            <w:pPr>
              <w:spacing w:line="260" w:lineRule="exact"/>
              <w:jc w:val="left"/>
              <w:rPr>
                <w:rFonts w:hint="eastAsia" w:asciiTheme="minorEastAsia" w:hAnsiTheme="minorEastAsia" w:eastAsiaTheme="minorEastAsia" w:cstheme="minorEastAsia"/>
                <w:color w:val="auto"/>
                <w:sz w:val="21"/>
                <w:szCs w:val="21"/>
                <w:highlight w:val="none"/>
              </w:rPr>
            </w:pPr>
          </w:p>
        </w:tc>
        <w:tc>
          <w:tcPr>
            <w:tcW w:w="1125" w:type="dxa"/>
            <w:vMerge w:val="continue"/>
            <w:vAlign w:val="center"/>
          </w:tcPr>
          <w:p>
            <w:pPr>
              <w:spacing w:line="260" w:lineRule="exact"/>
              <w:jc w:val="left"/>
              <w:rPr>
                <w:rFonts w:hint="eastAsia" w:asciiTheme="minorEastAsia" w:hAnsiTheme="minorEastAsia" w:eastAsiaTheme="minorEastAsia" w:cstheme="minorEastAsia"/>
                <w:color w:val="auto"/>
                <w:sz w:val="21"/>
                <w:szCs w:val="21"/>
                <w:highlight w:val="none"/>
              </w:rPr>
            </w:pPr>
          </w:p>
        </w:tc>
        <w:tc>
          <w:tcPr>
            <w:tcW w:w="1074" w:type="dxa"/>
            <w:vMerge w:val="restart"/>
            <w:vAlign w:val="center"/>
          </w:tcPr>
          <w:p>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时效</w:t>
            </w:r>
          </w:p>
          <w:p>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指标</w:t>
            </w:r>
          </w:p>
        </w:tc>
        <w:tc>
          <w:tcPr>
            <w:tcW w:w="1295"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重点支出完成率</w:t>
            </w:r>
          </w:p>
        </w:tc>
        <w:tc>
          <w:tcPr>
            <w:tcW w:w="1171" w:type="dxa"/>
            <w:gridSpan w:val="2"/>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100%</w:t>
            </w:r>
          </w:p>
        </w:tc>
        <w:tc>
          <w:tcPr>
            <w:tcW w:w="1318" w:type="dxa"/>
            <w:gridSpan w:val="2"/>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100%</w:t>
            </w:r>
          </w:p>
        </w:tc>
        <w:tc>
          <w:tcPr>
            <w:tcW w:w="936"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3</w:t>
            </w:r>
          </w:p>
        </w:tc>
        <w:tc>
          <w:tcPr>
            <w:tcW w:w="857"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3</w:t>
            </w:r>
          </w:p>
        </w:tc>
        <w:tc>
          <w:tcPr>
            <w:tcW w:w="1153"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56" w:type="dxa"/>
            <w:vMerge w:val="continue"/>
            <w:vAlign w:val="center"/>
          </w:tcPr>
          <w:p>
            <w:pPr>
              <w:spacing w:line="260" w:lineRule="exact"/>
              <w:jc w:val="left"/>
              <w:rPr>
                <w:rFonts w:hint="eastAsia" w:asciiTheme="minorEastAsia" w:hAnsiTheme="minorEastAsia" w:eastAsiaTheme="minorEastAsia" w:cstheme="minorEastAsia"/>
                <w:color w:val="auto"/>
                <w:sz w:val="21"/>
                <w:szCs w:val="21"/>
                <w:highlight w:val="none"/>
              </w:rPr>
            </w:pPr>
          </w:p>
        </w:tc>
        <w:tc>
          <w:tcPr>
            <w:tcW w:w="1125" w:type="dxa"/>
            <w:vMerge w:val="continue"/>
            <w:vAlign w:val="center"/>
          </w:tcPr>
          <w:p>
            <w:pPr>
              <w:spacing w:line="260" w:lineRule="exact"/>
              <w:jc w:val="left"/>
              <w:rPr>
                <w:rFonts w:hint="eastAsia" w:asciiTheme="minorEastAsia" w:hAnsiTheme="minorEastAsia" w:eastAsiaTheme="minorEastAsia" w:cstheme="minorEastAsia"/>
                <w:color w:val="auto"/>
                <w:sz w:val="21"/>
                <w:szCs w:val="21"/>
                <w:highlight w:val="none"/>
              </w:rPr>
            </w:pPr>
          </w:p>
        </w:tc>
        <w:tc>
          <w:tcPr>
            <w:tcW w:w="1074" w:type="dxa"/>
            <w:vMerge w:val="continue"/>
            <w:vAlign w:val="center"/>
          </w:tcPr>
          <w:p>
            <w:pPr>
              <w:spacing w:line="260" w:lineRule="exact"/>
              <w:jc w:val="left"/>
              <w:rPr>
                <w:rFonts w:hint="eastAsia" w:asciiTheme="minorEastAsia" w:hAnsiTheme="minorEastAsia" w:eastAsiaTheme="minorEastAsia" w:cstheme="minorEastAsia"/>
                <w:b/>
                <w:bCs/>
                <w:color w:val="auto"/>
                <w:sz w:val="21"/>
                <w:szCs w:val="21"/>
                <w:highlight w:val="none"/>
              </w:rPr>
            </w:pPr>
          </w:p>
        </w:tc>
        <w:tc>
          <w:tcPr>
            <w:tcW w:w="1295"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重要精神传达及时率</w:t>
            </w:r>
          </w:p>
        </w:tc>
        <w:tc>
          <w:tcPr>
            <w:tcW w:w="1171" w:type="dxa"/>
            <w:gridSpan w:val="2"/>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100%</w:t>
            </w:r>
          </w:p>
        </w:tc>
        <w:tc>
          <w:tcPr>
            <w:tcW w:w="1318" w:type="dxa"/>
            <w:gridSpan w:val="2"/>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100%</w:t>
            </w:r>
          </w:p>
        </w:tc>
        <w:tc>
          <w:tcPr>
            <w:tcW w:w="936"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kern w:val="0"/>
                <w:sz w:val="21"/>
                <w:szCs w:val="21"/>
                <w:highlight w:val="none"/>
                <w:lang w:val="en-US" w:eastAsia="zh-CN" w:bidi="ar"/>
              </w:rPr>
              <w:t>2</w:t>
            </w:r>
          </w:p>
        </w:tc>
        <w:tc>
          <w:tcPr>
            <w:tcW w:w="857"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kern w:val="0"/>
                <w:sz w:val="21"/>
                <w:szCs w:val="21"/>
                <w:highlight w:val="none"/>
                <w:lang w:val="en-US" w:eastAsia="zh-CN" w:bidi="ar"/>
              </w:rPr>
              <w:t>2</w:t>
            </w:r>
          </w:p>
        </w:tc>
        <w:tc>
          <w:tcPr>
            <w:tcW w:w="1153"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956" w:type="dxa"/>
            <w:vMerge w:val="continue"/>
            <w:vAlign w:val="center"/>
          </w:tcPr>
          <w:p>
            <w:pPr>
              <w:spacing w:line="260" w:lineRule="exact"/>
              <w:jc w:val="left"/>
              <w:rPr>
                <w:rFonts w:hint="eastAsia" w:asciiTheme="minorEastAsia" w:hAnsiTheme="minorEastAsia" w:eastAsiaTheme="minorEastAsia" w:cstheme="minorEastAsia"/>
                <w:color w:val="auto"/>
                <w:sz w:val="21"/>
                <w:szCs w:val="21"/>
                <w:highlight w:val="none"/>
              </w:rPr>
            </w:pPr>
          </w:p>
        </w:tc>
        <w:tc>
          <w:tcPr>
            <w:tcW w:w="1125" w:type="dxa"/>
            <w:vMerge w:val="continue"/>
            <w:vAlign w:val="center"/>
          </w:tcPr>
          <w:p>
            <w:pPr>
              <w:spacing w:line="260" w:lineRule="exact"/>
              <w:jc w:val="left"/>
              <w:rPr>
                <w:rFonts w:hint="eastAsia" w:asciiTheme="minorEastAsia" w:hAnsiTheme="minorEastAsia" w:eastAsiaTheme="minorEastAsia" w:cstheme="minorEastAsia"/>
                <w:color w:val="auto"/>
                <w:sz w:val="21"/>
                <w:szCs w:val="21"/>
                <w:highlight w:val="none"/>
              </w:rPr>
            </w:pPr>
          </w:p>
        </w:tc>
        <w:tc>
          <w:tcPr>
            <w:tcW w:w="1074" w:type="dxa"/>
            <w:vMerge w:val="restart"/>
            <w:vAlign w:val="center"/>
          </w:tcPr>
          <w:p>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成本</w:t>
            </w:r>
          </w:p>
          <w:p>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指标</w:t>
            </w:r>
          </w:p>
        </w:tc>
        <w:tc>
          <w:tcPr>
            <w:tcW w:w="1295"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在职人员控制率</w:t>
            </w:r>
          </w:p>
        </w:tc>
        <w:tc>
          <w:tcPr>
            <w:tcW w:w="1171" w:type="dxa"/>
            <w:gridSpan w:val="2"/>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≤100%</w:t>
            </w:r>
          </w:p>
        </w:tc>
        <w:tc>
          <w:tcPr>
            <w:tcW w:w="1318" w:type="dxa"/>
            <w:gridSpan w:val="2"/>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val="en-US" w:eastAsia="zh-CN" w:bidi="ar"/>
              </w:rPr>
              <w:t>100</w:t>
            </w:r>
            <w:r>
              <w:rPr>
                <w:rFonts w:hint="eastAsia" w:asciiTheme="minorEastAsia" w:hAnsiTheme="minorEastAsia" w:eastAsiaTheme="minorEastAsia" w:cstheme="minorEastAsia"/>
                <w:color w:val="auto"/>
                <w:kern w:val="0"/>
                <w:sz w:val="21"/>
                <w:szCs w:val="21"/>
                <w:highlight w:val="none"/>
                <w:lang w:bidi="ar"/>
              </w:rPr>
              <w:t>%</w:t>
            </w:r>
          </w:p>
        </w:tc>
        <w:tc>
          <w:tcPr>
            <w:tcW w:w="936"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3</w:t>
            </w:r>
          </w:p>
        </w:tc>
        <w:tc>
          <w:tcPr>
            <w:tcW w:w="857"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3</w:t>
            </w:r>
          </w:p>
        </w:tc>
        <w:tc>
          <w:tcPr>
            <w:tcW w:w="1153"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956" w:type="dxa"/>
            <w:vMerge w:val="continue"/>
            <w:vAlign w:val="center"/>
          </w:tcPr>
          <w:p>
            <w:pPr>
              <w:spacing w:line="260" w:lineRule="exact"/>
              <w:jc w:val="left"/>
              <w:rPr>
                <w:rFonts w:hint="eastAsia" w:asciiTheme="minorEastAsia" w:hAnsiTheme="minorEastAsia" w:eastAsiaTheme="minorEastAsia" w:cstheme="minorEastAsia"/>
                <w:color w:val="auto"/>
                <w:sz w:val="21"/>
                <w:szCs w:val="21"/>
                <w:highlight w:val="none"/>
              </w:rPr>
            </w:pPr>
          </w:p>
        </w:tc>
        <w:tc>
          <w:tcPr>
            <w:tcW w:w="1125" w:type="dxa"/>
            <w:vMerge w:val="continue"/>
            <w:vAlign w:val="center"/>
          </w:tcPr>
          <w:p>
            <w:pPr>
              <w:spacing w:line="260" w:lineRule="exact"/>
              <w:jc w:val="left"/>
              <w:rPr>
                <w:rFonts w:hint="eastAsia" w:asciiTheme="minorEastAsia" w:hAnsiTheme="minorEastAsia" w:eastAsiaTheme="minorEastAsia" w:cstheme="minorEastAsia"/>
                <w:color w:val="auto"/>
                <w:sz w:val="21"/>
                <w:szCs w:val="21"/>
                <w:highlight w:val="none"/>
              </w:rPr>
            </w:pPr>
          </w:p>
        </w:tc>
        <w:tc>
          <w:tcPr>
            <w:tcW w:w="1074" w:type="dxa"/>
            <w:vMerge w:val="continue"/>
            <w:vAlign w:val="center"/>
          </w:tcPr>
          <w:p>
            <w:pPr>
              <w:spacing w:line="260" w:lineRule="exact"/>
              <w:jc w:val="center"/>
              <w:rPr>
                <w:rFonts w:hint="eastAsia" w:asciiTheme="minorEastAsia" w:hAnsiTheme="minorEastAsia" w:eastAsiaTheme="minorEastAsia" w:cstheme="minorEastAsia"/>
                <w:b/>
                <w:bCs/>
                <w:color w:val="auto"/>
                <w:sz w:val="21"/>
                <w:szCs w:val="21"/>
                <w:highlight w:val="none"/>
              </w:rPr>
            </w:pPr>
          </w:p>
        </w:tc>
        <w:tc>
          <w:tcPr>
            <w:tcW w:w="1295"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bidi="ar"/>
              </w:rPr>
            </w:pPr>
            <w:r>
              <w:rPr>
                <w:rFonts w:hint="eastAsia" w:asciiTheme="minorEastAsia" w:hAnsiTheme="minorEastAsia" w:eastAsiaTheme="minorEastAsia" w:cstheme="minorEastAsia"/>
                <w:color w:val="auto"/>
                <w:kern w:val="0"/>
                <w:sz w:val="21"/>
                <w:szCs w:val="21"/>
                <w:highlight w:val="none"/>
                <w:lang w:bidi="ar"/>
              </w:rPr>
              <w:t>公用经费控制率</w:t>
            </w:r>
          </w:p>
        </w:tc>
        <w:tc>
          <w:tcPr>
            <w:tcW w:w="1171" w:type="dxa"/>
            <w:gridSpan w:val="2"/>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≤100%</w:t>
            </w:r>
          </w:p>
        </w:tc>
        <w:tc>
          <w:tcPr>
            <w:tcW w:w="1318" w:type="dxa"/>
            <w:gridSpan w:val="2"/>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val="en-US" w:eastAsia="zh-CN" w:bidi="ar"/>
              </w:rPr>
              <w:t>100</w:t>
            </w:r>
            <w:r>
              <w:rPr>
                <w:rFonts w:hint="eastAsia" w:asciiTheme="minorEastAsia" w:hAnsiTheme="minorEastAsia" w:eastAsiaTheme="minorEastAsia" w:cstheme="minorEastAsia"/>
                <w:color w:val="auto"/>
                <w:kern w:val="0"/>
                <w:sz w:val="21"/>
                <w:szCs w:val="21"/>
                <w:highlight w:val="none"/>
                <w:lang w:bidi="ar"/>
              </w:rPr>
              <w:t>%</w:t>
            </w:r>
          </w:p>
        </w:tc>
        <w:tc>
          <w:tcPr>
            <w:tcW w:w="936"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kern w:val="0"/>
                <w:sz w:val="21"/>
                <w:szCs w:val="21"/>
                <w:highlight w:val="none"/>
                <w:lang w:val="en-US" w:eastAsia="zh-CN" w:bidi="ar"/>
              </w:rPr>
              <w:t>3</w:t>
            </w:r>
          </w:p>
        </w:tc>
        <w:tc>
          <w:tcPr>
            <w:tcW w:w="857"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3</w:t>
            </w:r>
          </w:p>
        </w:tc>
        <w:tc>
          <w:tcPr>
            <w:tcW w:w="1153"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956" w:type="dxa"/>
            <w:vMerge w:val="continue"/>
            <w:vAlign w:val="center"/>
          </w:tcPr>
          <w:p>
            <w:pPr>
              <w:spacing w:line="260" w:lineRule="exact"/>
              <w:jc w:val="left"/>
              <w:rPr>
                <w:rFonts w:hint="eastAsia" w:asciiTheme="minorEastAsia" w:hAnsiTheme="minorEastAsia" w:eastAsiaTheme="minorEastAsia" w:cstheme="minorEastAsia"/>
                <w:color w:val="auto"/>
                <w:sz w:val="21"/>
                <w:szCs w:val="21"/>
                <w:highlight w:val="none"/>
              </w:rPr>
            </w:pPr>
          </w:p>
        </w:tc>
        <w:tc>
          <w:tcPr>
            <w:tcW w:w="1125" w:type="dxa"/>
            <w:vMerge w:val="continue"/>
            <w:vAlign w:val="center"/>
          </w:tcPr>
          <w:p>
            <w:pPr>
              <w:spacing w:line="260" w:lineRule="exact"/>
              <w:jc w:val="left"/>
              <w:rPr>
                <w:rFonts w:hint="eastAsia" w:asciiTheme="minorEastAsia" w:hAnsiTheme="minorEastAsia" w:eastAsiaTheme="minorEastAsia" w:cstheme="minorEastAsia"/>
                <w:color w:val="auto"/>
                <w:sz w:val="21"/>
                <w:szCs w:val="21"/>
                <w:highlight w:val="none"/>
              </w:rPr>
            </w:pPr>
          </w:p>
        </w:tc>
        <w:tc>
          <w:tcPr>
            <w:tcW w:w="1074" w:type="dxa"/>
            <w:vMerge w:val="continue"/>
            <w:vAlign w:val="center"/>
          </w:tcPr>
          <w:p>
            <w:pPr>
              <w:spacing w:line="260" w:lineRule="exact"/>
              <w:jc w:val="left"/>
              <w:rPr>
                <w:rFonts w:hint="eastAsia" w:asciiTheme="minorEastAsia" w:hAnsiTheme="minorEastAsia" w:eastAsiaTheme="minorEastAsia" w:cstheme="minorEastAsia"/>
                <w:b/>
                <w:bCs/>
                <w:color w:val="auto"/>
                <w:sz w:val="21"/>
                <w:szCs w:val="21"/>
                <w:highlight w:val="none"/>
              </w:rPr>
            </w:pPr>
          </w:p>
        </w:tc>
        <w:tc>
          <w:tcPr>
            <w:tcW w:w="1295"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“三公经费”控制率</w:t>
            </w:r>
          </w:p>
        </w:tc>
        <w:tc>
          <w:tcPr>
            <w:tcW w:w="1171" w:type="dxa"/>
            <w:gridSpan w:val="2"/>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≤100%</w:t>
            </w:r>
          </w:p>
        </w:tc>
        <w:tc>
          <w:tcPr>
            <w:tcW w:w="1318" w:type="dxa"/>
            <w:gridSpan w:val="2"/>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19.86%</w:t>
            </w:r>
          </w:p>
        </w:tc>
        <w:tc>
          <w:tcPr>
            <w:tcW w:w="936"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2</w:t>
            </w:r>
          </w:p>
        </w:tc>
        <w:tc>
          <w:tcPr>
            <w:tcW w:w="857"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2</w:t>
            </w:r>
          </w:p>
        </w:tc>
        <w:tc>
          <w:tcPr>
            <w:tcW w:w="1153"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56" w:type="dxa"/>
            <w:vMerge w:val="continue"/>
            <w:vAlign w:val="center"/>
          </w:tcPr>
          <w:p>
            <w:pPr>
              <w:spacing w:line="260" w:lineRule="exact"/>
              <w:jc w:val="left"/>
              <w:rPr>
                <w:rFonts w:hint="eastAsia" w:asciiTheme="minorEastAsia" w:hAnsiTheme="minorEastAsia" w:eastAsiaTheme="minorEastAsia" w:cstheme="minorEastAsia"/>
                <w:color w:val="auto"/>
                <w:sz w:val="21"/>
                <w:szCs w:val="21"/>
                <w:highlight w:val="none"/>
              </w:rPr>
            </w:pPr>
          </w:p>
        </w:tc>
        <w:tc>
          <w:tcPr>
            <w:tcW w:w="1125" w:type="dxa"/>
            <w:vMerge w:val="continue"/>
            <w:vAlign w:val="center"/>
          </w:tcPr>
          <w:p>
            <w:pPr>
              <w:spacing w:line="260" w:lineRule="exact"/>
              <w:jc w:val="left"/>
              <w:rPr>
                <w:rFonts w:hint="eastAsia" w:asciiTheme="minorEastAsia" w:hAnsiTheme="minorEastAsia" w:eastAsiaTheme="minorEastAsia" w:cstheme="minorEastAsia"/>
                <w:color w:val="auto"/>
                <w:sz w:val="21"/>
                <w:szCs w:val="21"/>
                <w:highlight w:val="none"/>
              </w:rPr>
            </w:pPr>
          </w:p>
        </w:tc>
        <w:tc>
          <w:tcPr>
            <w:tcW w:w="1074" w:type="dxa"/>
            <w:vMerge w:val="continue"/>
            <w:vAlign w:val="center"/>
          </w:tcPr>
          <w:p>
            <w:pPr>
              <w:spacing w:line="260" w:lineRule="exact"/>
              <w:jc w:val="left"/>
              <w:rPr>
                <w:rFonts w:hint="eastAsia" w:asciiTheme="minorEastAsia" w:hAnsiTheme="minorEastAsia" w:eastAsiaTheme="minorEastAsia" w:cstheme="minorEastAsia"/>
                <w:b/>
                <w:bCs/>
                <w:color w:val="auto"/>
                <w:sz w:val="21"/>
                <w:szCs w:val="21"/>
                <w:highlight w:val="none"/>
              </w:rPr>
            </w:pPr>
          </w:p>
        </w:tc>
        <w:tc>
          <w:tcPr>
            <w:tcW w:w="1295"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固定资产利用率</w:t>
            </w:r>
          </w:p>
        </w:tc>
        <w:tc>
          <w:tcPr>
            <w:tcW w:w="1171" w:type="dxa"/>
            <w:gridSpan w:val="2"/>
            <w:vAlign w:val="center"/>
          </w:tcPr>
          <w:p>
            <w:pPr>
              <w:widowControl/>
              <w:jc w:val="center"/>
              <w:textAlignment w:val="center"/>
              <w:rPr>
                <w:rFonts w:hint="eastAsia" w:asciiTheme="minorEastAsia" w:hAnsiTheme="minorEastAsia" w:eastAsiaTheme="minorEastAsia" w:cstheme="minorEastAsia"/>
                <w:color w:val="FF0000"/>
                <w:sz w:val="21"/>
                <w:szCs w:val="21"/>
                <w:highlight w:val="none"/>
              </w:rPr>
            </w:pPr>
            <w:r>
              <w:rPr>
                <w:rFonts w:hint="eastAsia" w:asciiTheme="minorEastAsia" w:hAnsiTheme="minorEastAsia" w:eastAsiaTheme="minorEastAsia" w:cstheme="minorEastAsia"/>
                <w:color w:val="FF0000"/>
                <w:kern w:val="0"/>
                <w:sz w:val="21"/>
                <w:szCs w:val="21"/>
                <w:highlight w:val="none"/>
                <w:lang w:bidi="ar"/>
              </w:rPr>
              <w:t>100%</w:t>
            </w:r>
          </w:p>
        </w:tc>
        <w:tc>
          <w:tcPr>
            <w:tcW w:w="1318" w:type="dxa"/>
            <w:gridSpan w:val="2"/>
            <w:vAlign w:val="center"/>
          </w:tcPr>
          <w:p>
            <w:pPr>
              <w:widowControl/>
              <w:jc w:val="center"/>
              <w:textAlignment w:val="center"/>
              <w:rPr>
                <w:rFonts w:hint="eastAsia" w:asciiTheme="minorEastAsia" w:hAnsiTheme="minorEastAsia" w:eastAsiaTheme="minorEastAsia" w:cstheme="minorEastAsia"/>
                <w:color w:val="FF0000"/>
                <w:sz w:val="21"/>
                <w:szCs w:val="21"/>
                <w:highlight w:val="none"/>
              </w:rPr>
            </w:pPr>
            <w:r>
              <w:rPr>
                <w:rFonts w:hint="eastAsia" w:asciiTheme="minorEastAsia" w:hAnsiTheme="minorEastAsia" w:eastAsiaTheme="minorEastAsia" w:cstheme="minorEastAsia"/>
                <w:color w:val="FF0000"/>
                <w:kern w:val="0"/>
                <w:sz w:val="21"/>
                <w:szCs w:val="21"/>
                <w:highlight w:val="none"/>
                <w:lang w:bidi="ar"/>
              </w:rPr>
              <w:t>100%</w:t>
            </w:r>
          </w:p>
        </w:tc>
        <w:tc>
          <w:tcPr>
            <w:tcW w:w="936" w:type="dxa"/>
            <w:vAlign w:val="center"/>
          </w:tcPr>
          <w:p>
            <w:pPr>
              <w:widowControl/>
              <w:jc w:val="center"/>
              <w:textAlignment w:val="center"/>
              <w:rPr>
                <w:rFonts w:hint="eastAsia" w:asciiTheme="minorEastAsia" w:hAnsiTheme="minorEastAsia" w:eastAsiaTheme="minorEastAsia" w:cstheme="minorEastAsia"/>
                <w:color w:val="FF0000"/>
                <w:sz w:val="21"/>
                <w:szCs w:val="21"/>
                <w:highlight w:val="none"/>
                <w:lang w:eastAsia="zh-CN"/>
              </w:rPr>
            </w:pPr>
            <w:r>
              <w:rPr>
                <w:rFonts w:hint="eastAsia" w:asciiTheme="minorEastAsia" w:hAnsiTheme="minorEastAsia" w:eastAsiaTheme="minorEastAsia" w:cstheme="minorEastAsia"/>
                <w:color w:val="FF0000"/>
                <w:kern w:val="0"/>
                <w:sz w:val="21"/>
                <w:szCs w:val="21"/>
                <w:highlight w:val="none"/>
                <w:lang w:val="en-US" w:eastAsia="zh-CN" w:bidi="ar"/>
              </w:rPr>
              <w:t>2</w:t>
            </w:r>
          </w:p>
        </w:tc>
        <w:tc>
          <w:tcPr>
            <w:tcW w:w="857" w:type="dxa"/>
            <w:vAlign w:val="center"/>
          </w:tcPr>
          <w:p>
            <w:pPr>
              <w:widowControl/>
              <w:jc w:val="center"/>
              <w:textAlignment w:val="center"/>
              <w:rPr>
                <w:rFonts w:hint="eastAsia" w:asciiTheme="minorEastAsia" w:hAnsiTheme="minorEastAsia" w:eastAsiaTheme="minorEastAsia" w:cstheme="minorEastAsia"/>
                <w:color w:val="FF0000"/>
                <w:sz w:val="21"/>
                <w:szCs w:val="21"/>
                <w:highlight w:val="none"/>
                <w:lang w:eastAsia="zh-CN"/>
              </w:rPr>
            </w:pPr>
            <w:r>
              <w:rPr>
                <w:rFonts w:hint="eastAsia" w:asciiTheme="minorEastAsia" w:hAnsiTheme="minorEastAsia" w:eastAsiaTheme="minorEastAsia" w:cstheme="minorEastAsia"/>
                <w:color w:val="FF0000"/>
                <w:kern w:val="0"/>
                <w:sz w:val="21"/>
                <w:szCs w:val="21"/>
                <w:highlight w:val="none"/>
                <w:lang w:val="en-US" w:eastAsia="zh-CN" w:bidi="ar"/>
              </w:rPr>
              <w:t>2</w:t>
            </w:r>
          </w:p>
        </w:tc>
        <w:tc>
          <w:tcPr>
            <w:tcW w:w="1153"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56" w:type="dxa"/>
            <w:vMerge w:val="continue"/>
            <w:vAlign w:val="center"/>
          </w:tcPr>
          <w:p>
            <w:pPr>
              <w:spacing w:line="260" w:lineRule="exact"/>
              <w:jc w:val="left"/>
              <w:rPr>
                <w:rFonts w:hint="eastAsia" w:asciiTheme="minorEastAsia" w:hAnsiTheme="minorEastAsia" w:eastAsiaTheme="minorEastAsia" w:cstheme="minorEastAsia"/>
                <w:color w:val="auto"/>
                <w:sz w:val="21"/>
                <w:szCs w:val="21"/>
                <w:highlight w:val="none"/>
              </w:rPr>
            </w:pPr>
          </w:p>
        </w:tc>
        <w:tc>
          <w:tcPr>
            <w:tcW w:w="1125" w:type="dxa"/>
            <w:vMerge w:val="restart"/>
            <w:vAlign w:val="center"/>
          </w:tcPr>
          <w:p>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效益指标</w:t>
            </w:r>
          </w:p>
          <w:p>
            <w:pPr>
              <w:spacing w:line="260" w:lineRule="exact"/>
              <w:jc w:val="left"/>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 xml:space="preserve">（30分） </w:t>
            </w:r>
          </w:p>
        </w:tc>
        <w:tc>
          <w:tcPr>
            <w:tcW w:w="1074" w:type="dxa"/>
            <w:vAlign w:val="center"/>
          </w:tcPr>
          <w:p>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经济效</w:t>
            </w:r>
          </w:p>
          <w:p>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益指标</w:t>
            </w:r>
          </w:p>
        </w:tc>
        <w:tc>
          <w:tcPr>
            <w:tcW w:w="1295" w:type="dxa"/>
            <w:vAlign w:val="center"/>
          </w:tcPr>
          <w:p>
            <w:pPr>
              <w:widowControl/>
              <w:jc w:val="both"/>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工业强劲回升，为全州经济社会发展提供强有力支撑</w:t>
            </w:r>
          </w:p>
        </w:tc>
        <w:tc>
          <w:tcPr>
            <w:tcW w:w="1171" w:type="dxa"/>
            <w:gridSpan w:val="2"/>
            <w:vAlign w:val="center"/>
          </w:tcPr>
          <w:p>
            <w:pPr>
              <w:widowControl/>
              <w:jc w:val="both"/>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全</w:t>
            </w:r>
            <w:r>
              <w:rPr>
                <w:rFonts w:hint="eastAsia" w:asciiTheme="minorEastAsia" w:hAnsiTheme="minorEastAsia" w:eastAsiaTheme="minorEastAsia" w:cstheme="minorEastAsia"/>
                <w:color w:val="auto"/>
                <w:kern w:val="0"/>
                <w:sz w:val="21"/>
                <w:szCs w:val="21"/>
                <w:highlight w:val="none"/>
                <w:lang w:val="en-US" w:eastAsia="zh-CN" w:bidi="ar"/>
              </w:rPr>
              <w:t>州</w:t>
            </w:r>
            <w:r>
              <w:rPr>
                <w:rFonts w:hint="eastAsia" w:asciiTheme="minorEastAsia" w:hAnsiTheme="minorEastAsia" w:eastAsiaTheme="minorEastAsia" w:cstheme="minorEastAsia"/>
                <w:color w:val="auto"/>
                <w:kern w:val="0"/>
                <w:sz w:val="21"/>
                <w:szCs w:val="21"/>
                <w:highlight w:val="none"/>
                <w:lang w:bidi="ar"/>
              </w:rPr>
              <w:t>工业经济实现高速增长</w:t>
            </w:r>
          </w:p>
        </w:tc>
        <w:tc>
          <w:tcPr>
            <w:tcW w:w="1318" w:type="dxa"/>
            <w:gridSpan w:val="2"/>
            <w:vAlign w:val="center"/>
          </w:tcPr>
          <w:p>
            <w:pPr>
              <w:widowControl/>
              <w:jc w:val="both"/>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全州规模工业增加值增速18.1%</w:t>
            </w:r>
          </w:p>
        </w:tc>
        <w:tc>
          <w:tcPr>
            <w:tcW w:w="936"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8</w:t>
            </w:r>
          </w:p>
        </w:tc>
        <w:tc>
          <w:tcPr>
            <w:tcW w:w="857"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8</w:t>
            </w:r>
          </w:p>
        </w:tc>
        <w:tc>
          <w:tcPr>
            <w:tcW w:w="1153"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56" w:type="dxa"/>
            <w:vMerge w:val="continue"/>
            <w:vAlign w:val="center"/>
          </w:tcPr>
          <w:p>
            <w:pPr>
              <w:spacing w:line="260" w:lineRule="exact"/>
              <w:jc w:val="left"/>
              <w:rPr>
                <w:rFonts w:hint="eastAsia" w:asciiTheme="minorEastAsia" w:hAnsiTheme="minorEastAsia" w:eastAsiaTheme="minorEastAsia" w:cstheme="minorEastAsia"/>
                <w:color w:val="auto"/>
                <w:sz w:val="21"/>
                <w:szCs w:val="21"/>
                <w:highlight w:val="none"/>
              </w:rPr>
            </w:pPr>
          </w:p>
        </w:tc>
        <w:tc>
          <w:tcPr>
            <w:tcW w:w="1125" w:type="dxa"/>
            <w:vMerge w:val="continue"/>
            <w:vAlign w:val="center"/>
          </w:tcPr>
          <w:p>
            <w:pPr>
              <w:spacing w:line="260" w:lineRule="exact"/>
              <w:jc w:val="left"/>
              <w:rPr>
                <w:rFonts w:hint="eastAsia" w:asciiTheme="minorEastAsia" w:hAnsiTheme="minorEastAsia" w:eastAsiaTheme="minorEastAsia" w:cstheme="minorEastAsia"/>
                <w:b/>
                <w:bCs/>
                <w:color w:val="auto"/>
                <w:sz w:val="21"/>
                <w:szCs w:val="21"/>
                <w:highlight w:val="none"/>
              </w:rPr>
            </w:pPr>
          </w:p>
        </w:tc>
        <w:tc>
          <w:tcPr>
            <w:tcW w:w="1074" w:type="dxa"/>
            <w:vAlign w:val="center"/>
          </w:tcPr>
          <w:p>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社会效</w:t>
            </w:r>
          </w:p>
          <w:p>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益指标</w:t>
            </w:r>
          </w:p>
        </w:tc>
        <w:tc>
          <w:tcPr>
            <w:tcW w:w="1295" w:type="dxa"/>
            <w:vAlign w:val="center"/>
          </w:tcPr>
          <w:p>
            <w:pPr>
              <w:widowControl/>
              <w:jc w:val="both"/>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提高转贷应急资金运营效率，节约企业融资成本。落实电价优惠政策</w:t>
            </w:r>
          </w:p>
        </w:tc>
        <w:tc>
          <w:tcPr>
            <w:tcW w:w="1171" w:type="dxa"/>
            <w:gridSpan w:val="2"/>
            <w:vAlign w:val="center"/>
          </w:tcPr>
          <w:p>
            <w:pPr>
              <w:widowControl/>
              <w:jc w:val="both"/>
              <w:textAlignment w:val="center"/>
              <w:rPr>
                <w:rFonts w:hint="eastAsia" w:asciiTheme="minorEastAsia" w:hAnsiTheme="minorEastAsia" w:eastAsiaTheme="minorEastAsia" w:cstheme="minorEastAsia"/>
                <w:color w:val="auto"/>
                <w:kern w:val="0"/>
                <w:sz w:val="21"/>
                <w:szCs w:val="21"/>
                <w:highlight w:val="none"/>
                <w:lang w:bidi="ar"/>
              </w:rPr>
            </w:pPr>
            <w:r>
              <w:rPr>
                <w:rFonts w:hint="eastAsia" w:asciiTheme="minorEastAsia" w:hAnsiTheme="minorEastAsia" w:eastAsiaTheme="minorEastAsia" w:cstheme="minorEastAsia"/>
                <w:color w:val="auto"/>
                <w:kern w:val="0"/>
                <w:sz w:val="21"/>
                <w:szCs w:val="21"/>
                <w:highlight w:val="none"/>
                <w:lang w:bidi="ar"/>
              </w:rPr>
              <w:t>全年转贷金额达6亿元，有效平抑市场贷款利率；落实电价优惠政策。</w:t>
            </w:r>
          </w:p>
        </w:tc>
        <w:tc>
          <w:tcPr>
            <w:tcW w:w="1318" w:type="dxa"/>
            <w:gridSpan w:val="2"/>
            <w:vAlign w:val="center"/>
          </w:tcPr>
          <w:p>
            <w:pPr>
              <w:widowControl/>
              <w:jc w:val="both"/>
              <w:textAlignment w:val="center"/>
              <w:rPr>
                <w:rFonts w:hint="eastAsia" w:asciiTheme="minorEastAsia" w:hAnsiTheme="minorEastAsia" w:eastAsiaTheme="minorEastAsia" w:cstheme="minorEastAsia"/>
                <w:color w:val="auto"/>
                <w:kern w:val="0"/>
                <w:sz w:val="21"/>
                <w:szCs w:val="21"/>
                <w:highlight w:val="none"/>
                <w:lang w:bidi="ar"/>
              </w:rPr>
            </w:pPr>
            <w:r>
              <w:rPr>
                <w:rFonts w:hint="eastAsia" w:asciiTheme="minorEastAsia" w:hAnsiTheme="minorEastAsia" w:eastAsiaTheme="minorEastAsia" w:cstheme="minorEastAsia"/>
                <w:color w:val="auto"/>
                <w:kern w:val="0"/>
                <w:sz w:val="21"/>
                <w:szCs w:val="21"/>
                <w:highlight w:val="none"/>
                <w:lang w:bidi="ar"/>
              </w:rPr>
              <w:t>州应急转贷资金完成98笔转贷业务，涉及续贷资金6.16亿元；全州工业企业享受电价优惠额度达1.32亿元。降低企业经营成本成效明显。</w:t>
            </w:r>
          </w:p>
        </w:tc>
        <w:tc>
          <w:tcPr>
            <w:tcW w:w="936" w:type="dxa"/>
            <w:vAlign w:val="center"/>
          </w:tcPr>
          <w:p>
            <w:pPr>
              <w:widowControl/>
              <w:jc w:val="center"/>
              <w:textAlignment w:val="center"/>
              <w:rPr>
                <w:rFonts w:hint="eastAsia" w:asciiTheme="minorEastAsia" w:hAnsiTheme="minorEastAsia" w:eastAsiaTheme="minorEastAsia" w:cstheme="minorEastAsia"/>
                <w:color w:val="FF0000"/>
                <w:sz w:val="21"/>
                <w:szCs w:val="21"/>
                <w:highlight w:val="none"/>
              </w:rPr>
            </w:pPr>
            <w:r>
              <w:rPr>
                <w:rFonts w:hint="eastAsia" w:asciiTheme="minorEastAsia" w:hAnsiTheme="minorEastAsia" w:eastAsiaTheme="minorEastAsia" w:cstheme="minorEastAsia"/>
                <w:color w:val="FF0000"/>
                <w:kern w:val="0"/>
                <w:sz w:val="21"/>
                <w:szCs w:val="21"/>
                <w:highlight w:val="none"/>
                <w:lang w:bidi="ar"/>
              </w:rPr>
              <w:t>8</w:t>
            </w:r>
          </w:p>
        </w:tc>
        <w:tc>
          <w:tcPr>
            <w:tcW w:w="857" w:type="dxa"/>
            <w:vAlign w:val="center"/>
          </w:tcPr>
          <w:p>
            <w:pPr>
              <w:widowControl/>
              <w:jc w:val="center"/>
              <w:textAlignment w:val="center"/>
              <w:rPr>
                <w:rFonts w:hint="eastAsia" w:asciiTheme="minorEastAsia" w:hAnsiTheme="minorEastAsia" w:eastAsiaTheme="minorEastAsia" w:cstheme="minorEastAsia"/>
                <w:color w:val="FF0000"/>
                <w:sz w:val="21"/>
                <w:szCs w:val="21"/>
                <w:highlight w:val="none"/>
                <w:lang w:eastAsia="zh-CN"/>
              </w:rPr>
            </w:pPr>
            <w:r>
              <w:rPr>
                <w:rFonts w:hint="eastAsia" w:asciiTheme="minorEastAsia" w:hAnsiTheme="minorEastAsia" w:eastAsiaTheme="minorEastAsia" w:cstheme="minorEastAsia"/>
                <w:color w:val="FF0000"/>
                <w:kern w:val="0"/>
                <w:sz w:val="21"/>
                <w:szCs w:val="21"/>
                <w:highlight w:val="none"/>
                <w:lang w:val="en-US" w:eastAsia="zh-CN" w:bidi="ar"/>
              </w:rPr>
              <w:t>7</w:t>
            </w:r>
          </w:p>
        </w:tc>
        <w:tc>
          <w:tcPr>
            <w:tcW w:w="1153"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56" w:type="dxa"/>
            <w:vMerge w:val="continue"/>
            <w:vAlign w:val="center"/>
          </w:tcPr>
          <w:p>
            <w:pPr>
              <w:spacing w:line="260" w:lineRule="exact"/>
              <w:jc w:val="left"/>
              <w:rPr>
                <w:rFonts w:hint="eastAsia" w:asciiTheme="minorEastAsia" w:hAnsiTheme="minorEastAsia" w:eastAsiaTheme="minorEastAsia" w:cstheme="minorEastAsia"/>
                <w:color w:val="auto"/>
                <w:sz w:val="21"/>
                <w:szCs w:val="21"/>
                <w:highlight w:val="none"/>
              </w:rPr>
            </w:pPr>
          </w:p>
        </w:tc>
        <w:tc>
          <w:tcPr>
            <w:tcW w:w="1125" w:type="dxa"/>
            <w:vMerge w:val="continue"/>
            <w:vAlign w:val="center"/>
          </w:tcPr>
          <w:p>
            <w:pPr>
              <w:spacing w:line="260" w:lineRule="exact"/>
              <w:jc w:val="left"/>
              <w:rPr>
                <w:rFonts w:hint="eastAsia" w:asciiTheme="minorEastAsia" w:hAnsiTheme="minorEastAsia" w:eastAsiaTheme="minorEastAsia" w:cstheme="minorEastAsia"/>
                <w:b/>
                <w:bCs/>
                <w:color w:val="auto"/>
                <w:sz w:val="21"/>
                <w:szCs w:val="21"/>
                <w:highlight w:val="none"/>
              </w:rPr>
            </w:pPr>
          </w:p>
        </w:tc>
        <w:tc>
          <w:tcPr>
            <w:tcW w:w="1074" w:type="dxa"/>
            <w:vAlign w:val="center"/>
          </w:tcPr>
          <w:p>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可持续影响指标</w:t>
            </w:r>
          </w:p>
        </w:tc>
        <w:tc>
          <w:tcPr>
            <w:tcW w:w="1295" w:type="dxa"/>
            <w:vAlign w:val="center"/>
          </w:tcPr>
          <w:p>
            <w:pPr>
              <w:widowControl/>
              <w:jc w:val="center"/>
              <w:textAlignment w:val="center"/>
              <w:rPr>
                <w:rFonts w:hint="eastAsia" w:asciiTheme="minorEastAsia" w:hAnsiTheme="minorEastAsia" w:eastAsiaTheme="minorEastAsia" w:cstheme="minorEastAsia"/>
                <w:color w:val="auto"/>
                <w:kern w:val="0"/>
                <w:sz w:val="21"/>
                <w:szCs w:val="21"/>
                <w:highlight w:val="none"/>
                <w:lang w:bidi="ar"/>
              </w:rPr>
            </w:pPr>
            <w:r>
              <w:rPr>
                <w:rFonts w:hint="eastAsia" w:asciiTheme="minorEastAsia" w:hAnsiTheme="minorEastAsia" w:eastAsiaTheme="minorEastAsia" w:cstheme="minorEastAsia"/>
                <w:color w:val="auto"/>
                <w:kern w:val="0"/>
                <w:sz w:val="21"/>
                <w:szCs w:val="21"/>
                <w:highlight w:val="none"/>
                <w:lang w:bidi="ar"/>
              </w:rPr>
              <w:t>重大项目建设推进有力</w:t>
            </w:r>
          </w:p>
        </w:tc>
        <w:tc>
          <w:tcPr>
            <w:tcW w:w="1171" w:type="dxa"/>
            <w:gridSpan w:val="2"/>
            <w:vAlign w:val="center"/>
          </w:tcPr>
          <w:p>
            <w:pPr>
              <w:widowControl/>
              <w:jc w:val="center"/>
              <w:textAlignment w:val="center"/>
              <w:rPr>
                <w:rFonts w:hint="eastAsia" w:asciiTheme="minorEastAsia" w:hAnsiTheme="minorEastAsia" w:eastAsiaTheme="minorEastAsia" w:cstheme="minorEastAsia"/>
                <w:color w:val="auto"/>
                <w:kern w:val="0"/>
                <w:sz w:val="21"/>
                <w:szCs w:val="21"/>
                <w:highlight w:val="none"/>
                <w:lang w:bidi="ar"/>
              </w:rPr>
            </w:pPr>
            <w:r>
              <w:rPr>
                <w:rFonts w:hint="eastAsia" w:asciiTheme="minorEastAsia" w:hAnsiTheme="minorEastAsia" w:eastAsiaTheme="minorEastAsia" w:cstheme="minorEastAsia"/>
                <w:color w:val="auto"/>
                <w:kern w:val="0"/>
                <w:sz w:val="21"/>
                <w:szCs w:val="21"/>
                <w:highlight w:val="none"/>
                <w:lang w:bidi="ar"/>
              </w:rPr>
              <w:t>项目完成投资，关键技术取得重大进展，完成通信基础设施投资，建成5G基站。</w:t>
            </w:r>
          </w:p>
          <w:p>
            <w:pPr>
              <w:widowControl/>
              <w:jc w:val="center"/>
              <w:textAlignment w:val="center"/>
              <w:rPr>
                <w:rFonts w:hint="eastAsia" w:asciiTheme="minorEastAsia" w:hAnsiTheme="minorEastAsia" w:eastAsiaTheme="minorEastAsia" w:cstheme="minorEastAsia"/>
                <w:color w:val="auto"/>
                <w:sz w:val="21"/>
                <w:szCs w:val="21"/>
                <w:highlight w:val="none"/>
              </w:rPr>
            </w:pPr>
          </w:p>
        </w:tc>
        <w:tc>
          <w:tcPr>
            <w:tcW w:w="1318" w:type="dxa"/>
            <w:gridSpan w:val="2"/>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我州动态调度的100个工业项目完成投资22.6亿元。通信基础设施建设完成投资5.4亿元，新建5G基站1320个，超额完成全年任务。</w:t>
            </w:r>
          </w:p>
        </w:tc>
        <w:tc>
          <w:tcPr>
            <w:tcW w:w="936"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8</w:t>
            </w:r>
          </w:p>
        </w:tc>
        <w:tc>
          <w:tcPr>
            <w:tcW w:w="857"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8</w:t>
            </w:r>
          </w:p>
        </w:tc>
        <w:tc>
          <w:tcPr>
            <w:tcW w:w="1153"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56" w:type="dxa"/>
            <w:vMerge w:val="continue"/>
            <w:vAlign w:val="center"/>
          </w:tcPr>
          <w:p>
            <w:pPr>
              <w:spacing w:line="260" w:lineRule="exact"/>
              <w:jc w:val="left"/>
              <w:rPr>
                <w:rFonts w:hint="eastAsia" w:asciiTheme="minorEastAsia" w:hAnsiTheme="minorEastAsia" w:eastAsiaTheme="minorEastAsia" w:cstheme="minorEastAsia"/>
                <w:color w:val="auto"/>
                <w:sz w:val="21"/>
                <w:szCs w:val="21"/>
                <w:highlight w:val="none"/>
              </w:rPr>
            </w:pPr>
          </w:p>
        </w:tc>
        <w:tc>
          <w:tcPr>
            <w:tcW w:w="1125" w:type="dxa"/>
            <w:vMerge w:val="restart"/>
            <w:vAlign w:val="center"/>
          </w:tcPr>
          <w:p>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满意度</w:t>
            </w:r>
          </w:p>
          <w:p>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指标</w:t>
            </w:r>
          </w:p>
          <w:p>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（10分）</w:t>
            </w:r>
          </w:p>
        </w:tc>
        <w:tc>
          <w:tcPr>
            <w:tcW w:w="1074" w:type="dxa"/>
            <w:vMerge w:val="restart"/>
            <w:vAlign w:val="center"/>
          </w:tcPr>
          <w:p>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服务对象满意度指标</w:t>
            </w:r>
          </w:p>
        </w:tc>
        <w:tc>
          <w:tcPr>
            <w:tcW w:w="1295" w:type="dxa"/>
            <w:vAlign w:val="center"/>
          </w:tcPr>
          <w:p>
            <w:pPr>
              <w:widowControl/>
              <w:jc w:val="center"/>
              <w:textAlignment w:val="center"/>
              <w:rPr>
                <w:rFonts w:hint="eastAsia" w:asciiTheme="minorEastAsia" w:hAnsiTheme="minorEastAsia" w:eastAsiaTheme="minorEastAsia" w:cstheme="minorEastAsia"/>
                <w:color w:val="auto"/>
                <w:kern w:val="0"/>
                <w:sz w:val="21"/>
                <w:szCs w:val="21"/>
                <w:highlight w:val="none"/>
                <w:lang w:bidi="ar"/>
              </w:rPr>
            </w:pPr>
            <w:r>
              <w:rPr>
                <w:rFonts w:hint="eastAsia" w:asciiTheme="minorEastAsia" w:hAnsiTheme="minorEastAsia" w:eastAsiaTheme="minorEastAsia" w:cstheme="minorEastAsia"/>
                <w:color w:val="auto"/>
                <w:kern w:val="0"/>
                <w:sz w:val="21"/>
                <w:szCs w:val="21"/>
                <w:highlight w:val="none"/>
                <w:lang w:bidi="ar"/>
              </w:rPr>
              <w:t>部门满意度</w:t>
            </w:r>
          </w:p>
        </w:tc>
        <w:tc>
          <w:tcPr>
            <w:tcW w:w="1171" w:type="dxa"/>
            <w:gridSpan w:val="2"/>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95%</w:t>
            </w:r>
          </w:p>
        </w:tc>
        <w:tc>
          <w:tcPr>
            <w:tcW w:w="1318" w:type="dxa"/>
            <w:gridSpan w:val="2"/>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9</w:t>
            </w:r>
            <w:r>
              <w:rPr>
                <w:rFonts w:hint="eastAsia" w:asciiTheme="minorEastAsia" w:hAnsiTheme="minorEastAsia" w:eastAsiaTheme="minorEastAsia" w:cstheme="minorEastAsia"/>
                <w:color w:val="auto"/>
                <w:kern w:val="0"/>
                <w:sz w:val="21"/>
                <w:szCs w:val="21"/>
                <w:highlight w:val="none"/>
                <w:lang w:val="en-US" w:eastAsia="zh-CN" w:bidi="ar"/>
              </w:rPr>
              <w:t>5</w:t>
            </w:r>
            <w:r>
              <w:rPr>
                <w:rFonts w:hint="eastAsia" w:asciiTheme="minorEastAsia" w:hAnsiTheme="minorEastAsia" w:eastAsiaTheme="minorEastAsia" w:cstheme="minorEastAsia"/>
                <w:color w:val="auto"/>
                <w:kern w:val="0"/>
                <w:sz w:val="21"/>
                <w:szCs w:val="21"/>
                <w:highlight w:val="none"/>
                <w:lang w:bidi="ar"/>
              </w:rPr>
              <w:t>%</w:t>
            </w:r>
          </w:p>
        </w:tc>
        <w:tc>
          <w:tcPr>
            <w:tcW w:w="936"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3</w:t>
            </w:r>
          </w:p>
        </w:tc>
        <w:tc>
          <w:tcPr>
            <w:tcW w:w="857"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3</w:t>
            </w:r>
          </w:p>
        </w:tc>
        <w:tc>
          <w:tcPr>
            <w:tcW w:w="1153"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56" w:type="dxa"/>
            <w:vMerge w:val="continue"/>
            <w:vAlign w:val="center"/>
          </w:tcPr>
          <w:p>
            <w:pPr>
              <w:spacing w:line="260" w:lineRule="exact"/>
              <w:jc w:val="left"/>
              <w:rPr>
                <w:rFonts w:hint="eastAsia" w:asciiTheme="minorEastAsia" w:hAnsiTheme="minorEastAsia" w:eastAsiaTheme="minorEastAsia" w:cstheme="minorEastAsia"/>
                <w:color w:val="auto"/>
                <w:sz w:val="21"/>
                <w:szCs w:val="21"/>
                <w:highlight w:val="none"/>
              </w:rPr>
            </w:pPr>
          </w:p>
        </w:tc>
        <w:tc>
          <w:tcPr>
            <w:tcW w:w="1125" w:type="dxa"/>
            <w:vMerge w:val="continue"/>
            <w:vAlign w:val="center"/>
          </w:tcPr>
          <w:p>
            <w:pPr>
              <w:spacing w:line="260" w:lineRule="exact"/>
              <w:jc w:val="center"/>
              <w:rPr>
                <w:rFonts w:hint="eastAsia" w:asciiTheme="minorEastAsia" w:hAnsiTheme="minorEastAsia" w:eastAsiaTheme="minorEastAsia" w:cstheme="minorEastAsia"/>
                <w:color w:val="auto"/>
                <w:sz w:val="21"/>
                <w:szCs w:val="21"/>
                <w:highlight w:val="none"/>
              </w:rPr>
            </w:pPr>
          </w:p>
        </w:tc>
        <w:tc>
          <w:tcPr>
            <w:tcW w:w="1074" w:type="dxa"/>
            <w:vMerge w:val="continue"/>
            <w:vAlign w:val="center"/>
          </w:tcPr>
          <w:p>
            <w:pPr>
              <w:spacing w:line="260" w:lineRule="exact"/>
              <w:jc w:val="center"/>
              <w:rPr>
                <w:rFonts w:hint="eastAsia" w:asciiTheme="minorEastAsia" w:hAnsiTheme="minorEastAsia" w:eastAsiaTheme="minorEastAsia" w:cstheme="minorEastAsia"/>
                <w:color w:val="auto"/>
                <w:sz w:val="21"/>
                <w:szCs w:val="21"/>
                <w:highlight w:val="none"/>
              </w:rPr>
            </w:pPr>
          </w:p>
        </w:tc>
        <w:tc>
          <w:tcPr>
            <w:tcW w:w="1295" w:type="dxa"/>
            <w:vAlign w:val="center"/>
          </w:tcPr>
          <w:p>
            <w:pPr>
              <w:widowControl/>
              <w:jc w:val="center"/>
              <w:textAlignment w:val="center"/>
              <w:rPr>
                <w:rFonts w:hint="eastAsia" w:asciiTheme="minorEastAsia" w:hAnsiTheme="minorEastAsia" w:eastAsiaTheme="minorEastAsia" w:cstheme="minorEastAsia"/>
                <w:color w:val="auto"/>
                <w:kern w:val="0"/>
                <w:sz w:val="21"/>
                <w:szCs w:val="21"/>
                <w:highlight w:val="none"/>
                <w:lang w:bidi="ar"/>
              </w:rPr>
            </w:pPr>
            <w:r>
              <w:rPr>
                <w:rFonts w:hint="eastAsia" w:asciiTheme="minorEastAsia" w:hAnsiTheme="minorEastAsia" w:eastAsiaTheme="minorEastAsia" w:cstheme="minorEastAsia"/>
                <w:color w:val="auto"/>
                <w:kern w:val="0"/>
                <w:sz w:val="21"/>
                <w:szCs w:val="21"/>
                <w:highlight w:val="none"/>
                <w:lang w:bidi="ar"/>
              </w:rPr>
              <w:t>服务对象满意度</w:t>
            </w:r>
          </w:p>
        </w:tc>
        <w:tc>
          <w:tcPr>
            <w:tcW w:w="1171" w:type="dxa"/>
            <w:gridSpan w:val="2"/>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95%</w:t>
            </w:r>
          </w:p>
        </w:tc>
        <w:tc>
          <w:tcPr>
            <w:tcW w:w="1318" w:type="dxa"/>
            <w:gridSpan w:val="2"/>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9</w:t>
            </w:r>
            <w:r>
              <w:rPr>
                <w:rFonts w:hint="eastAsia" w:asciiTheme="minorEastAsia" w:hAnsiTheme="minorEastAsia" w:eastAsiaTheme="minorEastAsia" w:cstheme="minorEastAsia"/>
                <w:color w:val="auto"/>
                <w:kern w:val="0"/>
                <w:sz w:val="21"/>
                <w:szCs w:val="21"/>
                <w:highlight w:val="none"/>
                <w:lang w:val="en-US" w:eastAsia="zh-CN" w:bidi="ar"/>
              </w:rPr>
              <w:t>5</w:t>
            </w:r>
            <w:r>
              <w:rPr>
                <w:rFonts w:hint="eastAsia" w:asciiTheme="minorEastAsia" w:hAnsiTheme="minorEastAsia" w:eastAsiaTheme="minorEastAsia" w:cstheme="minorEastAsia"/>
                <w:color w:val="auto"/>
                <w:kern w:val="0"/>
                <w:sz w:val="21"/>
                <w:szCs w:val="21"/>
                <w:highlight w:val="none"/>
                <w:lang w:bidi="ar"/>
              </w:rPr>
              <w:t>%</w:t>
            </w:r>
          </w:p>
        </w:tc>
        <w:tc>
          <w:tcPr>
            <w:tcW w:w="936"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3</w:t>
            </w:r>
          </w:p>
        </w:tc>
        <w:tc>
          <w:tcPr>
            <w:tcW w:w="857"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3</w:t>
            </w:r>
          </w:p>
        </w:tc>
        <w:tc>
          <w:tcPr>
            <w:tcW w:w="1153"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956" w:type="dxa"/>
            <w:vMerge w:val="continue"/>
            <w:vAlign w:val="center"/>
          </w:tcPr>
          <w:p>
            <w:pPr>
              <w:spacing w:line="260" w:lineRule="exact"/>
              <w:jc w:val="left"/>
              <w:rPr>
                <w:rFonts w:hint="eastAsia" w:asciiTheme="minorEastAsia" w:hAnsiTheme="minorEastAsia" w:eastAsiaTheme="minorEastAsia" w:cstheme="minorEastAsia"/>
                <w:color w:val="auto"/>
                <w:sz w:val="21"/>
                <w:szCs w:val="21"/>
                <w:highlight w:val="none"/>
              </w:rPr>
            </w:pPr>
          </w:p>
        </w:tc>
        <w:tc>
          <w:tcPr>
            <w:tcW w:w="1125" w:type="dxa"/>
            <w:vMerge w:val="continue"/>
            <w:vAlign w:val="center"/>
          </w:tcPr>
          <w:p>
            <w:pPr>
              <w:spacing w:line="260" w:lineRule="exact"/>
              <w:jc w:val="left"/>
              <w:rPr>
                <w:rFonts w:hint="eastAsia" w:asciiTheme="minorEastAsia" w:hAnsiTheme="minorEastAsia" w:eastAsiaTheme="minorEastAsia" w:cstheme="minorEastAsia"/>
                <w:color w:val="auto"/>
                <w:sz w:val="21"/>
                <w:szCs w:val="21"/>
                <w:highlight w:val="none"/>
              </w:rPr>
            </w:pPr>
          </w:p>
        </w:tc>
        <w:tc>
          <w:tcPr>
            <w:tcW w:w="1074" w:type="dxa"/>
            <w:vMerge w:val="continue"/>
            <w:vAlign w:val="center"/>
          </w:tcPr>
          <w:p>
            <w:pPr>
              <w:spacing w:line="260" w:lineRule="exact"/>
              <w:jc w:val="left"/>
              <w:rPr>
                <w:rFonts w:hint="eastAsia" w:asciiTheme="minorEastAsia" w:hAnsiTheme="minorEastAsia" w:eastAsiaTheme="minorEastAsia" w:cstheme="minorEastAsia"/>
                <w:color w:val="auto"/>
                <w:sz w:val="21"/>
                <w:szCs w:val="21"/>
                <w:highlight w:val="none"/>
              </w:rPr>
            </w:pPr>
          </w:p>
        </w:tc>
        <w:tc>
          <w:tcPr>
            <w:tcW w:w="1295" w:type="dxa"/>
            <w:vAlign w:val="center"/>
          </w:tcPr>
          <w:p>
            <w:pPr>
              <w:widowControl/>
              <w:jc w:val="center"/>
              <w:textAlignment w:val="center"/>
              <w:rPr>
                <w:rFonts w:hint="eastAsia" w:asciiTheme="minorEastAsia" w:hAnsiTheme="minorEastAsia" w:eastAsiaTheme="minorEastAsia" w:cstheme="minorEastAsia"/>
                <w:color w:val="auto"/>
                <w:kern w:val="0"/>
                <w:sz w:val="21"/>
                <w:szCs w:val="21"/>
                <w:highlight w:val="none"/>
                <w:lang w:bidi="ar"/>
              </w:rPr>
            </w:pPr>
            <w:r>
              <w:rPr>
                <w:rFonts w:hint="eastAsia" w:asciiTheme="minorEastAsia" w:hAnsiTheme="minorEastAsia" w:eastAsiaTheme="minorEastAsia" w:cstheme="minorEastAsia"/>
                <w:color w:val="auto"/>
                <w:kern w:val="0"/>
                <w:sz w:val="21"/>
                <w:szCs w:val="21"/>
                <w:highlight w:val="none"/>
                <w:lang w:bidi="ar"/>
              </w:rPr>
              <w:t>社会公众满意度</w:t>
            </w:r>
          </w:p>
        </w:tc>
        <w:tc>
          <w:tcPr>
            <w:tcW w:w="1171" w:type="dxa"/>
            <w:gridSpan w:val="2"/>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95%</w:t>
            </w:r>
          </w:p>
        </w:tc>
        <w:tc>
          <w:tcPr>
            <w:tcW w:w="1318" w:type="dxa"/>
            <w:gridSpan w:val="2"/>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9</w:t>
            </w:r>
            <w:r>
              <w:rPr>
                <w:rFonts w:hint="eastAsia" w:asciiTheme="minorEastAsia" w:hAnsiTheme="minorEastAsia" w:eastAsiaTheme="minorEastAsia" w:cstheme="minorEastAsia"/>
                <w:color w:val="auto"/>
                <w:kern w:val="0"/>
                <w:sz w:val="21"/>
                <w:szCs w:val="21"/>
                <w:highlight w:val="none"/>
                <w:lang w:val="en-US" w:eastAsia="zh-CN" w:bidi="ar"/>
              </w:rPr>
              <w:t>5</w:t>
            </w:r>
            <w:r>
              <w:rPr>
                <w:rFonts w:hint="eastAsia" w:asciiTheme="minorEastAsia" w:hAnsiTheme="minorEastAsia" w:eastAsiaTheme="minorEastAsia" w:cstheme="minorEastAsia"/>
                <w:color w:val="auto"/>
                <w:kern w:val="0"/>
                <w:sz w:val="21"/>
                <w:szCs w:val="21"/>
                <w:highlight w:val="none"/>
                <w:lang w:bidi="ar"/>
              </w:rPr>
              <w:t>%</w:t>
            </w:r>
          </w:p>
        </w:tc>
        <w:tc>
          <w:tcPr>
            <w:tcW w:w="936"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4</w:t>
            </w:r>
          </w:p>
        </w:tc>
        <w:tc>
          <w:tcPr>
            <w:tcW w:w="857"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4</w:t>
            </w:r>
          </w:p>
        </w:tc>
        <w:tc>
          <w:tcPr>
            <w:tcW w:w="1153"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6939" w:type="dxa"/>
            <w:gridSpan w:val="8"/>
            <w:vAlign w:val="center"/>
          </w:tcPr>
          <w:p>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bCs/>
                <w:color w:val="auto"/>
                <w:sz w:val="21"/>
                <w:szCs w:val="21"/>
                <w:highlight w:val="none"/>
              </w:rPr>
              <w:t>总分</w:t>
            </w:r>
          </w:p>
        </w:tc>
        <w:tc>
          <w:tcPr>
            <w:tcW w:w="936" w:type="dxa"/>
            <w:vAlign w:val="center"/>
          </w:tcPr>
          <w:p>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100</w:t>
            </w:r>
          </w:p>
        </w:tc>
        <w:tc>
          <w:tcPr>
            <w:tcW w:w="857" w:type="dxa"/>
            <w:vAlign w:val="center"/>
          </w:tcPr>
          <w:p>
            <w:pPr>
              <w:spacing w:line="260" w:lineRule="exact"/>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99</w:t>
            </w:r>
          </w:p>
        </w:tc>
        <w:tc>
          <w:tcPr>
            <w:tcW w:w="1153" w:type="dxa"/>
            <w:vAlign w:val="center"/>
          </w:tcPr>
          <w:p>
            <w:pPr>
              <w:spacing w:line="260" w:lineRule="exact"/>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w:t>
            </w:r>
          </w:p>
        </w:tc>
      </w:tr>
    </w:tbl>
    <w:p>
      <w:pPr>
        <w:spacing w:before="156" w:beforeLines="50"/>
        <w:jc w:val="left"/>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color w:val="auto"/>
          <w:sz w:val="21"/>
          <w:szCs w:val="21"/>
          <w:highlight w:val="none"/>
        </w:rPr>
        <w:t>单位负责人签字：         填表人：</w:t>
      </w:r>
      <w:r>
        <w:rPr>
          <w:rFonts w:hint="eastAsia" w:asciiTheme="minorEastAsia" w:hAnsiTheme="minorEastAsia" w:eastAsiaTheme="minorEastAsia" w:cstheme="minorEastAsia"/>
          <w:color w:val="auto"/>
          <w:sz w:val="21"/>
          <w:szCs w:val="21"/>
          <w:highlight w:val="none"/>
          <w:lang w:val="en-US" w:eastAsia="zh-CN"/>
        </w:rPr>
        <w:t xml:space="preserve">杨琛 </w:t>
      </w:r>
      <w:r>
        <w:rPr>
          <w:rFonts w:hint="eastAsia" w:asciiTheme="minorEastAsia" w:hAnsiTheme="minorEastAsia" w:eastAsiaTheme="minorEastAsia" w:cstheme="minorEastAsia"/>
          <w:color w:val="auto"/>
          <w:sz w:val="21"/>
          <w:szCs w:val="21"/>
          <w:highlight w:val="none"/>
        </w:rPr>
        <w:t>联系电话：</w:t>
      </w:r>
      <w:r>
        <w:rPr>
          <w:rFonts w:hint="eastAsia" w:asciiTheme="minorEastAsia" w:hAnsiTheme="minorEastAsia" w:eastAsiaTheme="minorEastAsia" w:cstheme="minorEastAsia"/>
          <w:color w:val="auto"/>
          <w:sz w:val="21"/>
          <w:szCs w:val="21"/>
          <w:highlight w:val="none"/>
          <w:lang w:val="en-US" w:eastAsia="zh-CN"/>
        </w:rPr>
        <w:t xml:space="preserve">18674340420   </w:t>
      </w:r>
      <w:r>
        <w:rPr>
          <w:rFonts w:hint="eastAsia" w:asciiTheme="minorEastAsia" w:hAnsiTheme="minorEastAsia" w:eastAsiaTheme="minorEastAsia" w:cstheme="minorEastAsia"/>
          <w:color w:val="auto"/>
          <w:sz w:val="21"/>
          <w:szCs w:val="21"/>
          <w:highlight w:val="none"/>
        </w:rPr>
        <w:t>填报日期：202</w:t>
      </w:r>
      <w:r>
        <w:rPr>
          <w:rFonts w:hint="eastAsia" w:asciiTheme="minorEastAsia" w:hAnsiTheme="minorEastAsia" w:eastAsiaTheme="minorEastAsia" w:cstheme="minorEastAsia"/>
          <w:color w:val="auto"/>
          <w:sz w:val="21"/>
          <w:szCs w:val="21"/>
          <w:highlight w:val="none"/>
          <w:lang w:val="en-US" w:eastAsia="zh-CN"/>
        </w:rPr>
        <w:t>2</w:t>
      </w:r>
      <w:r>
        <w:rPr>
          <w:rFonts w:hint="eastAsia" w:asciiTheme="minorEastAsia" w:hAnsiTheme="minorEastAsia" w:eastAsiaTheme="minorEastAsia" w:cstheme="minorEastAsia"/>
          <w:color w:val="auto"/>
          <w:sz w:val="21"/>
          <w:szCs w:val="21"/>
          <w:highlight w:val="none"/>
        </w:rPr>
        <w:t>年6月10日</w:t>
      </w:r>
    </w:p>
    <w:p>
      <w:pPr>
        <w:rPr>
          <w:rFonts w:hint="eastAsia" w:asciiTheme="minorEastAsia" w:hAnsiTheme="minorEastAsia" w:eastAsiaTheme="minorEastAsia" w:cstheme="minorEastAsia"/>
          <w:color w:val="auto"/>
          <w:sz w:val="24"/>
          <w:szCs w:val="24"/>
          <w:highlight w:val="none"/>
        </w:rPr>
      </w:pPr>
    </w:p>
    <w:p>
      <w:pPr>
        <w:rPr>
          <w:rFonts w:hint="eastAsia" w:asciiTheme="minorEastAsia" w:hAnsiTheme="minorEastAsia" w:eastAsiaTheme="minorEastAsia" w:cstheme="minorEastAsia"/>
          <w:color w:val="auto"/>
          <w:sz w:val="24"/>
          <w:szCs w:val="24"/>
          <w:highlight w:val="none"/>
        </w:rPr>
      </w:pPr>
    </w:p>
    <w:p>
      <w:pPr>
        <w:rPr>
          <w:rFonts w:hint="eastAsia" w:asciiTheme="minorEastAsia" w:hAnsiTheme="minorEastAsia" w:eastAsiaTheme="minorEastAsia" w:cstheme="minorEastAsia"/>
          <w:color w:val="auto"/>
          <w:sz w:val="24"/>
          <w:szCs w:val="24"/>
          <w:highlight w:val="none"/>
        </w:rPr>
      </w:pPr>
    </w:p>
    <w:p>
      <w:pPr>
        <w:widowControl/>
        <w:spacing w:before="183" w:beforeLines="50" w:line="580" w:lineRule="exact"/>
        <w:outlineLvl w:val="0"/>
        <w:rPr>
          <w:rFonts w:hint="eastAsia" w:asciiTheme="minorEastAsia" w:hAnsiTheme="minorEastAsia" w:eastAsiaTheme="minorEastAsia" w:cstheme="minorEastAsia"/>
          <w:color w:val="auto"/>
          <w:sz w:val="24"/>
          <w:szCs w:val="24"/>
          <w:highlight w:val="none"/>
        </w:rPr>
      </w:pPr>
    </w:p>
    <w:p>
      <w:pPr>
        <w:widowControl/>
        <w:spacing w:before="183" w:beforeLines="50" w:line="580" w:lineRule="exact"/>
        <w:outlineLvl w:val="0"/>
        <w:rPr>
          <w:rFonts w:hint="eastAsia" w:asciiTheme="minorEastAsia" w:hAnsiTheme="minorEastAsia" w:eastAsiaTheme="minorEastAsia" w:cstheme="minorEastAsia"/>
          <w:color w:val="auto"/>
          <w:sz w:val="24"/>
          <w:szCs w:val="24"/>
          <w:highlight w:val="none"/>
        </w:rPr>
      </w:pPr>
    </w:p>
    <w:p>
      <w:pPr>
        <w:keepNext w:val="0"/>
        <w:keepLines w:val="0"/>
        <w:pageBreakBefore w:val="0"/>
        <w:kinsoku/>
        <w:wordWrap/>
        <w:overflowPunct/>
        <w:topLinePunct w:val="0"/>
        <w:autoSpaceDE/>
        <w:autoSpaceDN/>
        <w:bidi w:val="0"/>
        <w:adjustRightInd/>
        <w:snapToGrid/>
        <w:spacing w:line="340" w:lineRule="atLeast"/>
        <w:textAlignment w:val="auto"/>
        <w:rPr>
          <w:rFonts w:hint="eastAsia" w:ascii="仿宋" w:hAnsi="仿宋" w:eastAsia="仿宋" w:cs="仿宋"/>
          <w:b/>
          <w:bCs/>
          <w:color w:val="auto"/>
          <w:sz w:val="30"/>
          <w:szCs w:val="30"/>
          <w:lang w:val="en-US"/>
        </w:rPr>
      </w:pPr>
      <w:r>
        <w:rPr>
          <w:rFonts w:hint="eastAsia" w:ascii="仿宋" w:hAnsi="仿宋" w:eastAsia="仿宋" w:cs="仿宋"/>
          <w:b/>
          <w:bCs/>
          <w:color w:val="auto"/>
          <w:sz w:val="30"/>
          <w:szCs w:val="30"/>
          <w:lang w:val="en-US" w:eastAsia="zh-CN"/>
        </w:rPr>
        <w:t>附件3  关于开展2021年度州直预算部门整体支出绩效自评的通知</w:t>
      </w:r>
    </w:p>
    <w:p>
      <w:pPr>
        <w:jc w:val="left"/>
        <w:rPr>
          <w:rFonts w:hint="eastAsia" w:asciiTheme="minorEastAsia" w:hAnsiTheme="minorEastAsia" w:eastAsiaTheme="minorEastAsia" w:cstheme="minorEastAsia"/>
          <w:b/>
          <w:bCs/>
          <w:color w:val="auto"/>
          <w:sz w:val="24"/>
          <w:szCs w:val="24"/>
          <w:highlight w:val="none"/>
        </w:rPr>
      </w:pPr>
    </w:p>
    <w:p>
      <w:pPr>
        <w:jc w:val="left"/>
        <w:rPr>
          <w:rFonts w:hint="eastAsia" w:asciiTheme="minorEastAsia" w:hAnsiTheme="minorEastAsia" w:eastAsiaTheme="minorEastAsia" w:cstheme="minorEastAsia"/>
          <w:b/>
          <w:bCs/>
          <w:color w:val="auto"/>
          <w:sz w:val="24"/>
          <w:szCs w:val="24"/>
          <w:highlight w:val="none"/>
          <w:lang w:eastAsia="zh-CN"/>
        </w:rPr>
      </w:pPr>
      <w:r>
        <w:rPr>
          <w:rFonts w:hint="eastAsia" w:asciiTheme="minorEastAsia" w:hAnsiTheme="minorEastAsia" w:eastAsiaTheme="minorEastAsia" w:cstheme="minorEastAsia"/>
          <w:b/>
          <w:bCs/>
          <w:color w:val="auto"/>
          <w:sz w:val="24"/>
          <w:szCs w:val="24"/>
          <w:highlight w:val="none"/>
          <w:lang w:eastAsia="zh-CN"/>
        </w:rPr>
        <w:drawing>
          <wp:inline distT="0" distB="0" distL="114300" distR="114300">
            <wp:extent cx="4836160" cy="6837680"/>
            <wp:effectExtent l="0" t="0" r="2540" b="1270"/>
            <wp:docPr id="1" name="图片 1" descr="24(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4(1)_00"/>
                    <pic:cNvPicPr>
                      <a:picLocks noChangeAspect="1"/>
                    </pic:cNvPicPr>
                  </pic:nvPicPr>
                  <pic:blipFill>
                    <a:blip r:embed="rId6"/>
                    <a:stretch>
                      <a:fillRect/>
                    </a:stretch>
                  </pic:blipFill>
                  <pic:spPr>
                    <a:xfrm>
                      <a:off x="0" y="0"/>
                      <a:ext cx="4836160" cy="6837680"/>
                    </a:xfrm>
                    <a:prstGeom prst="rect">
                      <a:avLst/>
                    </a:prstGeom>
                  </pic:spPr>
                </pic:pic>
              </a:graphicData>
            </a:graphic>
          </wp:inline>
        </w:drawing>
      </w: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r>
        <w:rPr>
          <w:rFonts w:hint="eastAsia" w:ascii="Arial" w:eastAsia="宋体"/>
          <w:sz w:val="21"/>
          <w:lang w:eastAsia="zh-CN"/>
        </w:rPr>
        <w:drawing>
          <wp:inline distT="0" distB="0" distL="114300" distR="114300">
            <wp:extent cx="5475605" cy="7741285"/>
            <wp:effectExtent l="0" t="0" r="10795" b="12065"/>
            <wp:docPr id="2" name="图片 2" descr="24(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4(1)_01"/>
                    <pic:cNvPicPr>
                      <a:picLocks noChangeAspect="1"/>
                    </pic:cNvPicPr>
                  </pic:nvPicPr>
                  <pic:blipFill>
                    <a:blip r:embed="rId7"/>
                    <a:stretch>
                      <a:fillRect/>
                    </a:stretch>
                  </pic:blipFill>
                  <pic:spPr>
                    <a:xfrm>
                      <a:off x="0" y="0"/>
                      <a:ext cx="5475605" cy="7741285"/>
                    </a:xfrm>
                    <a:prstGeom prst="rect">
                      <a:avLst/>
                    </a:prstGeom>
                  </pic:spPr>
                </pic:pic>
              </a:graphicData>
            </a:graphic>
          </wp:inline>
        </w:drawing>
      </w:r>
    </w:p>
    <w:p>
      <w:pPr>
        <w:spacing w:line="279" w:lineRule="auto"/>
        <w:rPr>
          <w:rFonts w:ascii="Arial"/>
          <w:sz w:val="21"/>
        </w:rPr>
      </w:pPr>
    </w:p>
    <w:p>
      <w:pPr>
        <w:spacing w:line="279" w:lineRule="auto"/>
        <w:rPr>
          <w:rFonts w:ascii="Arial"/>
          <w:sz w:val="21"/>
        </w:rPr>
      </w:pPr>
    </w:p>
    <w:p>
      <w:pPr>
        <w:spacing w:line="279" w:lineRule="auto"/>
        <w:rPr>
          <w:rFonts w:hint="eastAsia" w:ascii="Arial" w:eastAsia="宋体"/>
          <w:sz w:val="21"/>
          <w:lang w:eastAsia="zh-CN"/>
        </w:rPr>
      </w:pPr>
      <w:r>
        <w:rPr>
          <w:rFonts w:hint="eastAsia" w:ascii="Arial" w:eastAsia="宋体"/>
          <w:sz w:val="21"/>
          <w:lang w:eastAsia="zh-CN"/>
        </w:rPr>
        <w:drawing>
          <wp:inline distT="0" distB="0" distL="114300" distR="114300">
            <wp:extent cx="5623560" cy="7951470"/>
            <wp:effectExtent l="0" t="0" r="15240" b="11430"/>
            <wp:docPr id="3" name="图片 3" descr="24(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4(1)_02"/>
                    <pic:cNvPicPr>
                      <a:picLocks noChangeAspect="1"/>
                    </pic:cNvPicPr>
                  </pic:nvPicPr>
                  <pic:blipFill>
                    <a:blip r:embed="rId8"/>
                    <a:stretch>
                      <a:fillRect/>
                    </a:stretch>
                  </pic:blipFill>
                  <pic:spPr>
                    <a:xfrm>
                      <a:off x="0" y="0"/>
                      <a:ext cx="5623560" cy="7951470"/>
                    </a:xfrm>
                    <a:prstGeom prst="rect">
                      <a:avLst/>
                    </a:prstGeom>
                  </pic:spPr>
                </pic:pic>
              </a:graphicData>
            </a:graphic>
          </wp:inline>
        </w:drawing>
      </w:r>
    </w:p>
    <w:p>
      <w:pPr>
        <w:spacing w:line="279" w:lineRule="auto"/>
        <w:rPr>
          <w:rFonts w:ascii="Arial"/>
          <w:sz w:val="21"/>
        </w:rPr>
      </w:pPr>
    </w:p>
    <w:p>
      <w:pPr>
        <w:spacing w:line="279" w:lineRule="auto"/>
        <w:rPr>
          <w:rFonts w:ascii="Arial"/>
          <w:sz w:val="21"/>
        </w:rPr>
      </w:pPr>
    </w:p>
    <w:p>
      <w:pPr>
        <w:spacing w:line="279" w:lineRule="auto"/>
        <w:rPr>
          <w:rFonts w:hint="eastAsia" w:ascii="Arial" w:eastAsia="宋体"/>
          <w:sz w:val="21"/>
          <w:lang w:eastAsia="zh-CN"/>
        </w:rPr>
      </w:pPr>
      <w:r>
        <w:rPr>
          <w:rFonts w:hint="eastAsia" w:ascii="Arial" w:eastAsia="宋体"/>
          <w:sz w:val="21"/>
          <w:lang w:eastAsia="zh-CN"/>
        </w:rPr>
        <w:drawing>
          <wp:inline distT="0" distB="0" distL="114300" distR="114300">
            <wp:extent cx="5763895" cy="8148955"/>
            <wp:effectExtent l="0" t="0" r="8255" b="4445"/>
            <wp:docPr id="4" name="图片 4" descr="24(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4(1)_02"/>
                    <pic:cNvPicPr>
                      <a:picLocks noChangeAspect="1"/>
                    </pic:cNvPicPr>
                  </pic:nvPicPr>
                  <pic:blipFill>
                    <a:blip r:embed="rId8"/>
                    <a:stretch>
                      <a:fillRect/>
                    </a:stretch>
                  </pic:blipFill>
                  <pic:spPr>
                    <a:xfrm>
                      <a:off x="0" y="0"/>
                      <a:ext cx="5763895" cy="8148955"/>
                    </a:xfrm>
                    <a:prstGeom prst="rect">
                      <a:avLst/>
                    </a:prstGeom>
                  </pic:spPr>
                </pic:pic>
              </a:graphicData>
            </a:graphic>
          </wp:inline>
        </w:drawing>
      </w: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hint="eastAsia" w:ascii="Arial" w:eastAsia="宋体"/>
          <w:sz w:val="21"/>
          <w:lang w:eastAsia="zh-CN"/>
        </w:rPr>
      </w:pPr>
      <w:r>
        <w:rPr>
          <w:rFonts w:hint="eastAsia" w:ascii="Arial" w:eastAsia="宋体"/>
          <w:sz w:val="21"/>
          <w:lang w:eastAsia="zh-CN"/>
        </w:rPr>
        <w:drawing>
          <wp:inline distT="0" distB="0" distL="114300" distR="114300">
            <wp:extent cx="5687060" cy="8041005"/>
            <wp:effectExtent l="0" t="0" r="8890" b="17145"/>
            <wp:docPr id="5" name="图片 5" descr="24(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4(1)_04"/>
                    <pic:cNvPicPr>
                      <a:picLocks noChangeAspect="1"/>
                    </pic:cNvPicPr>
                  </pic:nvPicPr>
                  <pic:blipFill>
                    <a:blip r:embed="rId9"/>
                    <a:stretch>
                      <a:fillRect/>
                    </a:stretch>
                  </pic:blipFill>
                  <pic:spPr>
                    <a:xfrm>
                      <a:off x="0" y="0"/>
                      <a:ext cx="5687060" cy="8041005"/>
                    </a:xfrm>
                    <a:prstGeom prst="rect">
                      <a:avLst/>
                    </a:prstGeom>
                  </pic:spPr>
                </pic:pic>
              </a:graphicData>
            </a:graphic>
          </wp:inline>
        </w:drawing>
      </w: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hint="eastAsia" w:ascii="Arial" w:eastAsia="宋体"/>
          <w:sz w:val="21"/>
          <w:lang w:eastAsia="zh-CN"/>
        </w:rPr>
      </w:pPr>
      <w:r>
        <w:rPr>
          <w:rFonts w:hint="eastAsia" w:ascii="Arial" w:eastAsia="宋体"/>
          <w:sz w:val="21"/>
          <w:lang w:eastAsia="zh-CN"/>
        </w:rPr>
        <w:drawing>
          <wp:inline distT="0" distB="0" distL="114300" distR="114300">
            <wp:extent cx="5481320" cy="7750175"/>
            <wp:effectExtent l="0" t="0" r="5080" b="3175"/>
            <wp:docPr id="8" name="图片 8" descr="24(1)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4(1)_05"/>
                    <pic:cNvPicPr>
                      <a:picLocks noChangeAspect="1"/>
                    </pic:cNvPicPr>
                  </pic:nvPicPr>
                  <pic:blipFill>
                    <a:blip r:embed="rId10"/>
                    <a:stretch>
                      <a:fillRect/>
                    </a:stretch>
                  </pic:blipFill>
                  <pic:spPr>
                    <a:xfrm>
                      <a:off x="0" y="0"/>
                      <a:ext cx="5481320" cy="7750175"/>
                    </a:xfrm>
                    <a:prstGeom prst="rect">
                      <a:avLst/>
                    </a:prstGeom>
                  </pic:spPr>
                </pic:pic>
              </a:graphicData>
            </a:graphic>
          </wp:inline>
        </w:drawing>
      </w: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hint="eastAsia" w:ascii="Arial" w:eastAsia="宋体"/>
          <w:sz w:val="21"/>
          <w:lang w:eastAsia="zh-CN"/>
        </w:rPr>
      </w:pPr>
      <w:r>
        <w:rPr>
          <w:rFonts w:hint="eastAsia" w:ascii="Arial" w:eastAsia="宋体"/>
          <w:sz w:val="21"/>
          <w:lang w:eastAsia="zh-CN"/>
        </w:rPr>
        <w:drawing>
          <wp:inline distT="0" distB="0" distL="114300" distR="114300">
            <wp:extent cx="5509895" cy="7790180"/>
            <wp:effectExtent l="0" t="0" r="14605" b="1270"/>
            <wp:docPr id="9" name="图片 9" descr="24(1)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4(1)_06"/>
                    <pic:cNvPicPr>
                      <a:picLocks noChangeAspect="1"/>
                    </pic:cNvPicPr>
                  </pic:nvPicPr>
                  <pic:blipFill>
                    <a:blip r:embed="rId11"/>
                    <a:stretch>
                      <a:fillRect/>
                    </a:stretch>
                  </pic:blipFill>
                  <pic:spPr>
                    <a:xfrm>
                      <a:off x="0" y="0"/>
                      <a:ext cx="5509895" cy="7790180"/>
                    </a:xfrm>
                    <a:prstGeom prst="rect">
                      <a:avLst/>
                    </a:prstGeom>
                  </pic:spPr>
                </pic:pic>
              </a:graphicData>
            </a:graphic>
          </wp:inline>
        </w:drawing>
      </w:r>
    </w:p>
    <w:p>
      <w:pPr>
        <w:spacing w:line="279" w:lineRule="auto"/>
        <w:rPr>
          <w:rFonts w:ascii="Arial"/>
          <w:sz w:val="21"/>
        </w:rPr>
      </w:pPr>
    </w:p>
    <w:p>
      <w:pPr>
        <w:spacing w:line="279" w:lineRule="auto"/>
        <w:rPr>
          <w:rFonts w:ascii="Arial"/>
          <w:sz w:val="21"/>
        </w:rPr>
      </w:pPr>
    </w:p>
    <w:p>
      <w:pPr>
        <w:spacing w:line="279" w:lineRule="auto"/>
        <w:rPr>
          <w:rFonts w:hint="eastAsia" w:ascii="Arial" w:eastAsia="宋体"/>
          <w:sz w:val="21"/>
          <w:lang w:eastAsia="zh-CN"/>
        </w:rPr>
      </w:pPr>
      <w:r>
        <w:rPr>
          <w:rFonts w:hint="eastAsia" w:ascii="Arial" w:eastAsia="宋体"/>
          <w:sz w:val="21"/>
          <w:lang w:eastAsia="zh-CN"/>
        </w:rPr>
        <w:drawing>
          <wp:inline distT="0" distB="0" distL="114300" distR="114300">
            <wp:extent cx="5560695" cy="7861935"/>
            <wp:effectExtent l="0" t="0" r="1905" b="5715"/>
            <wp:docPr id="10" name="图片 10" descr="24(1)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4(1)_07"/>
                    <pic:cNvPicPr>
                      <a:picLocks noChangeAspect="1"/>
                    </pic:cNvPicPr>
                  </pic:nvPicPr>
                  <pic:blipFill>
                    <a:blip r:embed="rId12"/>
                    <a:stretch>
                      <a:fillRect/>
                    </a:stretch>
                  </pic:blipFill>
                  <pic:spPr>
                    <a:xfrm>
                      <a:off x="0" y="0"/>
                      <a:ext cx="5560695" cy="7861935"/>
                    </a:xfrm>
                    <a:prstGeom prst="rect">
                      <a:avLst/>
                    </a:prstGeom>
                  </pic:spPr>
                </pic:pic>
              </a:graphicData>
            </a:graphic>
          </wp:inline>
        </w:drawing>
      </w:r>
    </w:p>
    <w:p>
      <w:pPr>
        <w:spacing w:line="279" w:lineRule="auto"/>
        <w:rPr>
          <w:rFonts w:hint="eastAsia" w:ascii="Arial" w:eastAsia="宋体"/>
          <w:sz w:val="21"/>
          <w:lang w:eastAsia="zh-CN"/>
        </w:rPr>
      </w:pPr>
      <w:r>
        <w:rPr>
          <w:rFonts w:hint="eastAsia" w:ascii="Arial" w:eastAsia="宋体"/>
          <w:sz w:val="21"/>
          <w:lang w:eastAsia="zh-CN"/>
        </w:rPr>
        <w:drawing>
          <wp:inline distT="0" distB="0" distL="114300" distR="114300">
            <wp:extent cx="6129020" cy="8665845"/>
            <wp:effectExtent l="0" t="0" r="5080" b="1905"/>
            <wp:docPr id="11" name="图片 11" descr="24(1)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4(1)_08"/>
                    <pic:cNvPicPr>
                      <a:picLocks noChangeAspect="1"/>
                    </pic:cNvPicPr>
                  </pic:nvPicPr>
                  <pic:blipFill>
                    <a:blip r:embed="rId13"/>
                    <a:stretch>
                      <a:fillRect/>
                    </a:stretch>
                  </pic:blipFill>
                  <pic:spPr>
                    <a:xfrm>
                      <a:off x="0" y="0"/>
                      <a:ext cx="6129020" cy="8665845"/>
                    </a:xfrm>
                    <a:prstGeom prst="rect">
                      <a:avLst/>
                    </a:prstGeom>
                  </pic:spPr>
                </pic:pic>
              </a:graphicData>
            </a:graphic>
          </wp:inline>
        </w:drawing>
      </w:r>
    </w:p>
    <w:p>
      <w:pPr>
        <w:spacing w:line="279" w:lineRule="auto"/>
        <w:rPr>
          <w:rFonts w:ascii="Arial"/>
          <w:sz w:val="21"/>
        </w:rPr>
      </w:pPr>
    </w:p>
    <w:p>
      <w:pPr>
        <w:spacing w:line="279" w:lineRule="auto"/>
        <w:rPr>
          <w:rFonts w:hint="eastAsia" w:ascii="Arial" w:eastAsia="宋体"/>
          <w:sz w:val="21"/>
          <w:lang w:eastAsia="zh-CN"/>
        </w:rPr>
      </w:pPr>
      <w:r>
        <w:rPr>
          <w:rFonts w:hint="eastAsia" w:ascii="Arial" w:eastAsia="宋体"/>
          <w:sz w:val="21"/>
          <w:lang w:eastAsia="zh-CN"/>
        </w:rPr>
        <w:drawing>
          <wp:inline distT="0" distB="0" distL="114300" distR="114300">
            <wp:extent cx="5544185" cy="7839075"/>
            <wp:effectExtent l="0" t="0" r="18415" b="9525"/>
            <wp:docPr id="12" name="图片 12" descr="24(1)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4(1)_09"/>
                    <pic:cNvPicPr>
                      <a:picLocks noChangeAspect="1"/>
                    </pic:cNvPicPr>
                  </pic:nvPicPr>
                  <pic:blipFill>
                    <a:blip r:embed="rId14"/>
                    <a:stretch>
                      <a:fillRect/>
                    </a:stretch>
                  </pic:blipFill>
                  <pic:spPr>
                    <a:xfrm>
                      <a:off x="0" y="0"/>
                      <a:ext cx="5544185" cy="7839075"/>
                    </a:xfrm>
                    <a:prstGeom prst="rect">
                      <a:avLst/>
                    </a:prstGeom>
                  </pic:spPr>
                </pic:pic>
              </a:graphicData>
            </a:graphic>
          </wp:inline>
        </w:drawing>
      </w:r>
    </w:p>
    <w:p>
      <w:pPr>
        <w:spacing w:line="279" w:lineRule="auto"/>
        <w:rPr>
          <w:rFonts w:ascii="Arial"/>
          <w:sz w:val="21"/>
        </w:rPr>
      </w:pPr>
    </w:p>
    <w:p>
      <w:pPr>
        <w:spacing w:line="279" w:lineRule="auto"/>
        <w:rPr>
          <w:rFonts w:ascii="Arial"/>
          <w:sz w:val="21"/>
        </w:rPr>
      </w:pPr>
    </w:p>
    <w:p>
      <w:pPr>
        <w:spacing w:line="279" w:lineRule="auto"/>
        <w:rPr>
          <w:rFonts w:hint="eastAsia" w:ascii="Arial" w:eastAsia="宋体"/>
          <w:sz w:val="21"/>
          <w:lang w:eastAsia="zh-CN"/>
        </w:rPr>
      </w:pPr>
      <w:r>
        <w:rPr>
          <w:rFonts w:hint="eastAsia" w:ascii="Arial" w:eastAsia="宋体"/>
          <w:sz w:val="21"/>
          <w:lang w:eastAsia="zh-CN"/>
        </w:rPr>
        <w:drawing>
          <wp:inline distT="0" distB="0" distL="114300" distR="114300">
            <wp:extent cx="5416550" cy="7659370"/>
            <wp:effectExtent l="0" t="0" r="12700" b="17780"/>
            <wp:docPr id="13" name="图片 13" descr="24(1)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4(1)_10"/>
                    <pic:cNvPicPr>
                      <a:picLocks noChangeAspect="1"/>
                    </pic:cNvPicPr>
                  </pic:nvPicPr>
                  <pic:blipFill>
                    <a:blip r:embed="rId15"/>
                    <a:stretch>
                      <a:fillRect/>
                    </a:stretch>
                  </pic:blipFill>
                  <pic:spPr>
                    <a:xfrm>
                      <a:off x="0" y="0"/>
                      <a:ext cx="5416550" cy="7659370"/>
                    </a:xfrm>
                    <a:prstGeom prst="rect">
                      <a:avLst/>
                    </a:prstGeom>
                  </pic:spPr>
                </pic:pic>
              </a:graphicData>
            </a:graphic>
          </wp:inline>
        </w:drawing>
      </w:r>
    </w:p>
    <w:p>
      <w:pPr>
        <w:spacing w:line="279" w:lineRule="auto"/>
        <w:rPr>
          <w:rFonts w:ascii="Arial"/>
          <w:sz w:val="21"/>
        </w:rPr>
      </w:pPr>
    </w:p>
    <w:p>
      <w:pPr>
        <w:spacing w:line="279" w:lineRule="auto"/>
        <w:rPr>
          <w:rFonts w:ascii="Arial"/>
          <w:sz w:val="21"/>
        </w:rPr>
      </w:pPr>
    </w:p>
    <w:p>
      <w:pPr>
        <w:spacing w:line="279" w:lineRule="auto"/>
        <w:rPr>
          <w:rFonts w:hint="eastAsia" w:ascii="Arial" w:eastAsia="宋体"/>
          <w:sz w:val="21"/>
          <w:lang w:eastAsia="zh-CN"/>
        </w:rPr>
      </w:pPr>
      <w:r>
        <w:rPr>
          <w:rFonts w:hint="eastAsia" w:ascii="Arial" w:eastAsia="宋体"/>
          <w:sz w:val="21"/>
          <w:lang w:eastAsia="zh-CN"/>
        </w:rPr>
        <w:drawing>
          <wp:inline distT="0" distB="0" distL="114300" distR="114300">
            <wp:extent cx="6129020" cy="8665845"/>
            <wp:effectExtent l="0" t="0" r="5080" b="1905"/>
            <wp:docPr id="14" name="图片 14" descr="24(1)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4(1)_11"/>
                    <pic:cNvPicPr>
                      <a:picLocks noChangeAspect="1"/>
                    </pic:cNvPicPr>
                  </pic:nvPicPr>
                  <pic:blipFill>
                    <a:blip r:embed="rId16"/>
                    <a:stretch>
                      <a:fillRect/>
                    </a:stretch>
                  </pic:blipFill>
                  <pic:spPr>
                    <a:xfrm>
                      <a:off x="0" y="0"/>
                      <a:ext cx="6129020" cy="8665845"/>
                    </a:xfrm>
                    <a:prstGeom prst="rect">
                      <a:avLst/>
                    </a:prstGeom>
                  </pic:spPr>
                </pic:pic>
              </a:graphicData>
            </a:graphic>
          </wp:inline>
        </w:drawing>
      </w:r>
    </w:p>
    <w:p>
      <w:pPr>
        <w:tabs>
          <w:tab w:val="left" w:pos="8544"/>
        </w:tabs>
        <w:bidi w:val="0"/>
        <w:jc w:val="left"/>
        <w:rPr>
          <w:rFonts w:hint="default"/>
          <w:lang w:val="en-US" w:eastAsia="zh-CN"/>
        </w:rPr>
      </w:pPr>
      <w:r>
        <w:rPr>
          <w:rFonts w:hint="default"/>
          <w:lang w:val="en-US" w:eastAsia="zh-CN"/>
        </w:rPr>
        <w:drawing>
          <wp:inline distT="0" distB="0" distL="114300" distR="114300">
            <wp:extent cx="6129020" cy="8665845"/>
            <wp:effectExtent l="0" t="0" r="5080" b="1905"/>
            <wp:docPr id="15" name="图片 15" descr="24(1)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4(1)_12"/>
                    <pic:cNvPicPr>
                      <a:picLocks noChangeAspect="1"/>
                    </pic:cNvPicPr>
                  </pic:nvPicPr>
                  <pic:blipFill>
                    <a:blip r:embed="rId17"/>
                    <a:stretch>
                      <a:fillRect/>
                    </a:stretch>
                  </pic:blipFill>
                  <pic:spPr>
                    <a:xfrm>
                      <a:off x="0" y="0"/>
                      <a:ext cx="6129020" cy="8665845"/>
                    </a:xfrm>
                    <a:prstGeom prst="rect">
                      <a:avLst/>
                    </a:prstGeom>
                  </pic:spPr>
                </pic:pic>
              </a:graphicData>
            </a:graphic>
          </wp:inline>
        </w:drawing>
      </w:r>
    </w:p>
    <w:p>
      <w:pPr>
        <w:tabs>
          <w:tab w:val="left" w:pos="8544"/>
        </w:tabs>
        <w:bidi w:val="0"/>
        <w:jc w:val="left"/>
        <w:rPr>
          <w:rFonts w:hint="default"/>
          <w:lang w:val="en-US" w:eastAsia="zh-CN"/>
        </w:rPr>
      </w:pPr>
      <w:r>
        <w:rPr>
          <w:rFonts w:hint="default"/>
          <w:lang w:val="en-US" w:eastAsia="zh-CN"/>
        </w:rPr>
        <w:drawing>
          <wp:inline distT="0" distB="0" distL="114300" distR="114300">
            <wp:extent cx="6129020" cy="8665845"/>
            <wp:effectExtent l="0" t="0" r="5080" b="1905"/>
            <wp:docPr id="16" name="图片 16" descr="24(1)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4(1)_13"/>
                    <pic:cNvPicPr>
                      <a:picLocks noChangeAspect="1"/>
                    </pic:cNvPicPr>
                  </pic:nvPicPr>
                  <pic:blipFill>
                    <a:blip r:embed="rId18"/>
                    <a:stretch>
                      <a:fillRect/>
                    </a:stretch>
                  </pic:blipFill>
                  <pic:spPr>
                    <a:xfrm>
                      <a:off x="0" y="0"/>
                      <a:ext cx="6129020" cy="8665845"/>
                    </a:xfrm>
                    <a:prstGeom prst="rect">
                      <a:avLst/>
                    </a:prstGeom>
                  </pic:spPr>
                </pic:pic>
              </a:graphicData>
            </a:graphic>
          </wp:inline>
        </w:drawing>
      </w:r>
    </w:p>
    <w:sectPr>
      <w:footerReference r:id="rId4" w:type="default"/>
      <w:pgSz w:w="11906" w:h="16838"/>
      <w:pgMar w:top="1440" w:right="1066" w:bottom="1440" w:left="16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黑体"/>
    <w:panose1 w:val="03000509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rPr>
        <w:sz w:val="2"/>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4443443"/>
    <w:multiLevelType w:val="singleLevel"/>
    <w:tmpl w:val="44443443"/>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dmMWU3MTA5NzI2OGYyM2FlNjNhNzg3YTA0YzhmYWIifQ=="/>
  </w:docVars>
  <w:rsids>
    <w:rsidRoot w:val="00172A27"/>
    <w:rsid w:val="000056BF"/>
    <w:rsid w:val="00006CE2"/>
    <w:rsid w:val="000121F3"/>
    <w:rsid w:val="00026F4C"/>
    <w:rsid w:val="00031092"/>
    <w:rsid w:val="000314DB"/>
    <w:rsid w:val="00031CBC"/>
    <w:rsid w:val="000329F2"/>
    <w:rsid w:val="00042501"/>
    <w:rsid w:val="0007117F"/>
    <w:rsid w:val="00076B13"/>
    <w:rsid w:val="00086DD9"/>
    <w:rsid w:val="000921FC"/>
    <w:rsid w:val="0009362D"/>
    <w:rsid w:val="000C3A21"/>
    <w:rsid w:val="000C436D"/>
    <w:rsid w:val="000C4543"/>
    <w:rsid w:val="000F37DA"/>
    <w:rsid w:val="000F5645"/>
    <w:rsid w:val="000F5ACA"/>
    <w:rsid w:val="00107558"/>
    <w:rsid w:val="00110776"/>
    <w:rsid w:val="00114E56"/>
    <w:rsid w:val="001167C0"/>
    <w:rsid w:val="00121486"/>
    <w:rsid w:val="001235FA"/>
    <w:rsid w:val="00133163"/>
    <w:rsid w:val="001606EB"/>
    <w:rsid w:val="00162780"/>
    <w:rsid w:val="00172A27"/>
    <w:rsid w:val="00173F6F"/>
    <w:rsid w:val="00180F1C"/>
    <w:rsid w:val="00183957"/>
    <w:rsid w:val="001A1BEB"/>
    <w:rsid w:val="001C1112"/>
    <w:rsid w:val="001C6B9D"/>
    <w:rsid w:val="001C6FFB"/>
    <w:rsid w:val="001D65C1"/>
    <w:rsid w:val="001E0D64"/>
    <w:rsid w:val="001F0DE2"/>
    <w:rsid w:val="001F51AD"/>
    <w:rsid w:val="002050E0"/>
    <w:rsid w:val="002115A9"/>
    <w:rsid w:val="00216EAC"/>
    <w:rsid w:val="00217AF2"/>
    <w:rsid w:val="002252EB"/>
    <w:rsid w:val="00242041"/>
    <w:rsid w:val="00243CEA"/>
    <w:rsid w:val="00252235"/>
    <w:rsid w:val="00254B54"/>
    <w:rsid w:val="00287EEF"/>
    <w:rsid w:val="00295B92"/>
    <w:rsid w:val="002A346C"/>
    <w:rsid w:val="002A3EB2"/>
    <w:rsid w:val="002B1235"/>
    <w:rsid w:val="002B497E"/>
    <w:rsid w:val="002C34AE"/>
    <w:rsid w:val="002D31AB"/>
    <w:rsid w:val="002F06E9"/>
    <w:rsid w:val="002F0CED"/>
    <w:rsid w:val="002F50BA"/>
    <w:rsid w:val="002F58E6"/>
    <w:rsid w:val="00304135"/>
    <w:rsid w:val="003152E6"/>
    <w:rsid w:val="003223E0"/>
    <w:rsid w:val="0032273C"/>
    <w:rsid w:val="00325C2D"/>
    <w:rsid w:val="00330110"/>
    <w:rsid w:val="00340108"/>
    <w:rsid w:val="003412FD"/>
    <w:rsid w:val="00341F62"/>
    <w:rsid w:val="00347491"/>
    <w:rsid w:val="00350058"/>
    <w:rsid w:val="0035413E"/>
    <w:rsid w:val="00391101"/>
    <w:rsid w:val="00395A84"/>
    <w:rsid w:val="003A5DE2"/>
    <w:rsid w:val="003B06A8"/>
    <w:rsid w:val="003B6522"/>
    <w:rsid w:val="003D04CC"/>
    <w:rsid w:val="003E7207"/>
    <w:rsid w:val="003F0C2D"/>
    <w:rsid w:val="003F21B0"/>
    <w:rsid w:val="004005C2"/>
    <w:rsid w:val="00402632"/>
    <w:rsid w:val="00407A76"/>
    <w:rsid w:val="004102DE"/>
    <w:rsid w:val="00420B52"/>
    <w:rsid w:val="00424B74"/>
    <w:rsid w:val="004356F5"/>
    <w:rsid w:val="004401B8"/>
    <w:rsid w:val="004455B5"/>
    <w:rsid w:val="00452443"/>
    <w:rsid w:val="00463726"/>
    <w:rsid w:val="004728F5"/>
    <w:rsid w:val="00480FB0"/>
    <w:rsid w:val="00482DF4"/>
    <w:rsid w:val="00485D30"/>
    <w:rsid w:val="00495625"/>
    <w:rsid w:val="00495E7C"/>
    <w:rsid w:val="004A0C18"/>
    <w:rsid w:val="004B36A9"/>
    <w:rsid w:val="004C0FCE"/>
    <w:rsid w:val="004C4613"/>
    <w:rsid w:val="004D2E18"/>
    <w:rsid w:val="004F2065"/>
    <w:rsid w:val="004F61EA"/>
    <w:rsid w:val="004F7680"/>
    <w:rsid w:val="0050052D"/>
    <w:rsid w:val="00503E5E"/>
    <w:rsid w:val="00523470"/>
    <w:rsid w:val="00523C73"/>
    <w:rsid w:val="00524B2D"/>
    <w:rsid w:val="00534E7B"/>
    <w:rsid w:val="005376ED"/>
    <w:rsid w:val="00552CFA"/>
    <w:rsid w:val="00560E25"/>
    <w:rsid w:val="00562604"/>
    <w:rsid w:val="00567C73"/>
    <w:rsid w:val="00591B46"/>
    <w:rsid w:val="00597D8D"/>
    <w:rsid w:val="005B4566"/>
    <w:rsid w:val="005B4C58"/>
    <w:rsid w:val="005B4FAA"/>
    <w:rsid w:val="005C0AE0"/>
    <w:rsid w:val="005C2BF7"/>
    <w:rsid w:val="005C5E29"/>
    <w:rsid w:val="005C6E56"/>
    <w:rsid w:val="005C7345"/>
    <w:rsid w:val="005C7357"/>
    <w:rsid w:val="005D67BD"/>
    <w:rsid w:val="005E0ED6"/>
    <w:rsid w:val="005F2A5A"/>
    <w:rsid w:val="005F4A3D"/>
    <w:rsid w:val="006017CC"/>
    <w:rsid w:val="00604842"/>
    <w:rsid w:val="00604FCD"/>
    <w:rsid w:val="00605E50"/>
    <w:rsid w:val="006132FB"/>
    <w:rsid w:val="00615319"/>
    <w:rsid w:val="00616C74"/>
    <w:rsid w:val="00616E28"/>
    <w:rsid w:val="006270A4"/>
    <w:rsid w:val="006337EC"/>
    <w:rsid w:val="00654149"/>
    <w:rsid w:val="00672371"/>
    <w:rsid w:val="00680C0A"/>
    <w:rsid w:val="00686994"/>
    <w:rsid w:val="00692F9B"/>
    <w:rsid w:val="006A2DF5"/>
    <w:rsid w:val="006D7BD2"/>
    <w:rsid w:val="00701C93"/>
    <w:rsid w:val="00711D0A"/>
    <w:rsid w:val="00716AD5"/>
    <w:rsid w:val="00722D58"/>
    <w:rsid w:val="007239EA"/>
    <w:rsid w:val="00726C3A"/>
    <w:rsid w:val="00726D07"/>
    <w:rsid w:val="00730D4E"/>
    <w:rsid w:val="00746CBE"/>
    <w:rsid w:val="00750321"/>
    <w:rsid w:val="0076280F"/>
    <w:rsid w:val="0076283C"/>
    <w:rsid w:val="00766B13"/>
    <w:rsid w:val="007855A4"/>
    <w:rsid w:val="00796062"/>
    <w:rsid w:val="007A07E0"/>
    <w:rsid w:val="007B2A81"/>
    <w:rsid w:val="007B31C6"/>
    <w:rsid w:val="007B4D24"/>
    <w:rsid w:val="007C167D"/>
    <w:rsid w:val="007C612F"/>
    <w:rsid w:val="007C6F1D"/>
    <w:rsid w:val="007D2022"/>
    <w:rsid w:val="007D2256"/>
    <w:rsid w:val="007D267F"/>
    <w:rsid w:val="007E755A"/>
    <w:rsid w:val="007F0F80"/>
    <w:rsid w:val="00821526"/>
    <w:rsid w:val="008217EF"/>
    <w:rsid w:val="00823D97"/>
    <w:rsid w:val="008310C3"/>
    <w:rsid w:val="008343EE"/>
    <w:rsid w:val="0086173F"/>
    <w:rsid w:val="008645AE"/>
    <w:rsid w:val="00867784"/>
    <w:rsid w:val="00885069"/>
    <w:rsid w:val="00886070"/>
    <w:rsid w:val="0089274F"/>
    <w:rsid w:val="008A439C"/>
    <w:rsid w:val="008A5498"/>
    <w:rsid w:val="008C4062"/>
    <w:rsid w:val="008C464F"/>
    <w:rsid w:val="008D49E4"/>
    <w:rsid w:val="008D588B"/>
    <w:rsid w:val="008F04E4"/>
    <w:rsid w:val="008F6232"/>
    <w:rsid w:val="009077C1"/>
    <w:rsid w:val="009145E1"/>
    <w:rsid w:val="00926315"/>
    <w:rsid w:val="0093472B"/>
    <w:rsid w:val="009372CB"/>
    <w:rsid w:val="009428FE"/>
    <w:rsid w:val="00952B9E"/>
    <w:rsid w:val="00955F92"/>
    <w:rsid w:val="00966E76"/>
    <w:rsid w:val="00967535"/>
    <w:rsid w:val="00976AF2"/>
    <w:rsid w:val="009850BF"/>
    <w:rsid w:val="009959F5"/>
    <w:rsid w:val="009A18CE"/>
    <w:rsid w:val="009A2F2C"/>
    <w:rsid w:val="009A46BE"/>
    <w:rsid w:val="009B410E"/>
    <w:rsid w:val="009B7524"/>
    <w:rsid w:val="009C2102"/>
    <w:rsid w:val="009C7EE7"/>
    <w:rsid w:val="009E4400"/>
    <w:rsid w:val="009E48B6"/>
    <w:rsid w:val="009E7E56"/>
    <w:rsid w:val="009F7E23"/>
    <w:rsid w:val="009F7FED"/>
    <w:rsid w:val="00A0171B"/>
    <w:rsid w:val="00A017DA"/>
    <w:rsid w:val="00A051BD"/>
    <w:rsid w:val="00A0659F"/>
    <w:rsid w:val="00A07EC6"/>
    <w:rsid w:val="00A12203"/>
    <w:rsid w:val="00A1445D"/>
    <w:rsid w:val="00A2470B"/>
    <w:rsid w:val="00A26CF4"/>
    <w:rsid w:val="00A36899"/>
    <w:rsid w:val="00A42B05"/>
    <w:rsid w:val="00A555DA"/>
    <w:rsid w:val="00A56454"/>
    <w:rsid w:val="00A72CE8"/>
    <w:rsid w:val="00A72EC4"/>
    <w:rsid w:val="00A75455"/>
    <w:rsid w:val="00A757C3"/>
    <w:rsid w:val="00A932CE"/>
    <w:rsid w:val="00A9618C"/>
    <w:rsid w:val="00AA4683"/>
    <w:rsid w:val="00AD056F"/>
    <w:rsid w:val="00AE1242"/>
    <w:rsid w:val="00AE1BA8"/>
    <w:rsid w:val="00AE5C8E"/>
    <w:rsid w:val="00B0114A"/>
    <w:rsid w:val="00B0508F"/>
    <w:rsid w:val="00B135AB"/>
    <w:rsid w:val="00B21198"/>
    <w:rsid w:val="00B30921"/>
    <w:rsid w:val="00B53354"/>
    <w:rsid w:val="00B53A5C"/>
    <w:rsid w:val="00B56DE6"/>
    <w:rsid w:val="00B60C9C"/>
    <w:rsid w:val="00B626B2"/>
    <w:rsid w:val="00B64FCE"/>
    <w:rsid w:val="00B65395"/>
    <w:rsid w:val="00B836F5"/>
    <w:rsid w:val="00B84A42"/>
    <w:rsid w:val="00B90FD8"/>
    <w:rsid w:val="00B91484"/>
    <w:rsid w:val="00B939CF"/>
    <w:rsid w:val="00BA0F8E"/>
    <w:rsid w:val="00BB11CD"/>
    <w:rsid w:val="00BC6C4F"/>
    <w:rsid w:val="00BD022B"/>
    <w:rsid w:val="00BE275B"/>
    <w:rsid w:val="00BF77DF"/>
    <w:rsid w:val="00C06107"/>
    <w:rsid w:val="00C32277"/>
    <w:rsid w:val="00C37C11"/>
    <w:rsid w:val="00C534AC"/>
    <w:rsid w:val="00C834C1"/>
    <w:rsid w:val="00C93F41"/>
    <w:rsid w:val="00CA7462"/>
    <w:rsid w:val="00CB3997"/>
    <w:rsid w:val="00CB513F"/>
    <w:rsid w:val="00CB5418"/>
    <w:rsid w:val="00CD0E3F"/>
    <w:rsid w:val="00CD40F9"/>
    <w:rsid w:val="00CF28CB"/>
    <w:rsid w:val="00D02E85"/>
    <w:rsid w:val="00D61A23"/>
    <w:rsid w:val="00D76CA2"/>
    <w:rsid w:val="00D90AEE"/>
    <w:rsid w:val="00D90B2C"/>
    <w:rsid w:val="00D92B20"/>
    <w:rsid w:val="00D93FA0"/>
    <w:rsid w:val="00D94877"/>
    <w:rsid w:val="00DA04B4"/>
    <w:rsid w:val="00DA1D97"/>
    <w:rsid w:val="00DA31B5"/>
    <w:rsid w:val="00DA7AA2"/>
    <w:rsid w:val="00DC07E2"/>
    <w:rsid w:val="00DF2EC9"/>
    <w:rsid w:val="00DF5FEE"/>
    <w:rsid w:val="00DF6010"/>
    <w:rsid w:val="00E0157B"/>
    <w:rsid w:val="00E10881"/>
    <w:rsid w:val="00E12D28"/>
    <w:rsid w:val="00E21487"/>
    <w:rsid w:val="00E2238F"/>
    <w:rsid w:val="00E2308E"/>
    <w:rsid w:val="00E33D78"/>
    <w:rsid w:val="00E356DF"/>
    <w:rsid w:val="00E3777A"/>
    <w:rsid w:val="00E40880"/>
    <w:rsid w:val="00E4671F"/>
    <w:rsid w:val="00E510BA"/>
    <w:rsid w:val="00E57E25"/>
    <w:rsid w:val="00E607C6"/>
    <w:rsid w:val="00E63217"/>
    <w:rsid w:val="00E755E2"/>
    <w:rsid w:val="00E8027B"/>
    <w:rsid w:val="00E8197C"/>
    <w:rsid w:val="00E82FCE"/>
    <w:rsid w:val="00E865C2"/>
    <w:rsid w:val="00E91D77"/>
    <w:rsid w:val="00E953C9"/>
    <w:rsid w:val="00EA15C9"/>
    <w:rsid w:val="00EA37CA"/>
    <w:rsid w:val="00EA5F50"/>
    <w:rsid w:val="00EA70C7"/>
    <w:rsid w:val="00EC6F42"/>
    <w:rsid w:val="00ED19D9"/>
    <w:rsid w:val="00ED20DF"/>
    <w:rsid w:val="00ED293A"/>
    <w:rsid w:val="00EE154E"/>
    <w:rsid w:val="00EE5C2F"/>
    <w:rsid w:val="00F1161D"/>
    <w:rsid w:val="00F1178B"/>
    <w:rsid w:val="00F12F78"/>
    <w:rsid w:val="00F1430C"/>
    <w:rsid w:val="00F16FF4"/>
    <w:rsid w:val="00F20752"/>
    <w:rsid w:val="00F37378"/>
    <w:rsid w:val="00F37C08"/>
    <w:rsid w:val="00F535A4"/>
    <w:rsid w:val="00F53A27"/>
    <w:rsid w:val="00F579CC"/>
    <w:rsid w:val="00F86563"/>
    <w:rsid w:val="00F86BFD"/>
    <w:rsid w:val="00F91F5B"/>
    <w:rsid w:val="00F91F88"/>
    <w:rsid w:val="00FA2913"/>
    <w:rsid w:val="00FB43D6"/>
    <w:rsid w:val="00FD20BA"/>
    <w:rsid w:val="00FD22FF"/>
    <w:rsid w:val="00FE68B9"/>
    <w:rsid w:val="00FF1310"/>
    <w:rsid w:val="00FF6222"/>
    <w:rsid w:val="01215E31"/>
    <w:rsid w:val="012D2227"/>
    <w:rsid w:val="016A6987"/>
    <w:rsid w:val="017342F3"/>
    <w:rsid w:val="01780B5B"/>
    <w:rsid w:val="018C5AFF"/>
    <w:rsid w:val="01934593"/>
    <w:rsid w:val="01A926BF"/>
    <w:rsid w:val="01EC5C3E"/>
    <w:rsid w:val="02225B04"/>
    <w:rsid w:val="02473288"/>
    <w:rsid w:val="024A5156"/>
    <w:rsid w:val="024D75E9"/>
    <w:rsid w:val="02781BC8"/>
    <w:rsid w:val="027947F6"/>
    <w:rsid w:val="028265A2"/>
    <w:rsid w:val="02C43BE4"/>
    <w:rsid w:val="02CF46F2"/>
    <w:rsid w:val="02DA3561"/>
    <w:rsid w:val="02E458A7"/>
    <w:rsid w:val="03C17992"/>
    <w:rsid w:val="03FA2B2E"/>
    <w:rsid w:val="04104B11"/>
    <w:rsid w:val="04306D13"/>
    <w:rsid w:val="043B10FF"/>
    <w:rsid w:val="044D244E"/>
    <w:rsid w:val="046C02A0"/>
    <w:rsid w:val="04A96068"/>
    <w:rsid w:val="04C3537C"/>
    <w:rsid w:val="05075F15"/>
    <w:rsid w:val="050D65F7"/>
    <w:rsid w:val="055F573B"/>
    <w:rsid w:val="05A86C12"/>
    <w:rsid w:val="05C175D7"/>
    <w:rsid w:val="05F55465"/>
    <w:rsid w:val="06615687"/>
    <w:rsid w:val="06673C82"/>
    <w:rsid w:val="069A5C2C"/>
    <w:rsid w:val="06CF1633"/>
    <w:rsid w:val="06F8470B"/>
    <w:rsid w:val="070B39F0"/>
    <w:rsid w:val="072D2CBF"/>
    <w:rsid w:val="07565A95"/>
    <w:rsid w:val="07575CFE"/>
    <w:rsid w:val="076A5F6F"/>
    <w:rsid w:val="076B5857"/>
    <w:rsid w:val="07A50E22"/>
    <w:rsid w:val="08184391"/>
    <w:rsid w:val="08395239"/>
    <w:rsid w:val="0847354D"/>
    <w:rsid w:val="086C7E8B"/>
    <w:rsid w:val="08761A66"/>
    <w:rsid w:val="089E28F2"/>
    <w:rsid w:val="090F0803"/>
    <w:rsid w:val="092A6D38"/>
    <w:rsid w:val="095A6C24"/>
    <w:rsid w:val="09605857"/>
    <w:rsid w:val="096A2CD8"/>
    <w:rsid w:val="096A6B28"/>
    <w:rsid w:val="0980097E"/>
    <w:rsid w:val="09AB5060"/>
    <w:rsid w:val="09B74D83"/>
    <w:rsid w:val="09B80F75"/>
    <w:rsid w:val="09B84214"/>
    <w:rsid w:val="09FB3761"/>
    <w:rsid w:val="0A2368BD"/>
    <w:rsid w:val="0A726EFC"/>
    <w:rsid w:val="0A7A429C"/>
    <w:rsid w:val="0A872DA2"/>
    <w:rsid w:val="0A9F4195"/>
    <w:rsid w:val="0AA84C3E"/>
    <w:rsid w:val="0AFB5144"/>
    <w:rsid w:val="0B285B54"/>
    <w:rsid w:val="0B3E3DAB"/>
    <w:rsid w:val="0B5A482A"/>
    <w:rsid w:val="0B781888"/>
    <w:rsid w:val="0B8D2BB5"/>
    <w:rsid w:val="0B942D81"/>
    <w:rsid w:val="0BD42E46"/>
    <w:rsid w:val="0C3C77C2"/>
    <w:rsid w:val="0CCA2B0E"/>
    <w:rsid w:val="0CE9794A"/>
    <w:rsid w:val="0D0A78C0"/>
    <w:rsid w:val="0D28120A"/>
    <w:rsid w:val="0D5B411A"/>
    <w:rsid w:val="0D775804"/>
    <w:rsid w:val="0DA8545D"/>
    <w:rsid w:val="0DCA3F39"/>
    <w:rsid w:val="0DCB52A1"/>
    <w:rsid w:val="0E314BDF"/>
    <w:rsid w:val="0E507F17"/>
    <w:rsid w:val="0EAC2427"/>
    <w:rsid w:val="0EB208DB"/>
    <w:rsid w:val="0EF63416"/>
    <w:rsid w:val="0F3260E4"/>
    <w:rsid w:val="0F36499C"/>
    <w:rsid w:val="0F4279DD"/>
    <w:rsid w:val="0F5E5402"/>
    <w:rsid w:val="0F831C1D"/>
    <w:rsid w:val="107473CD"/>
    <w:rsid w:val="109B09B2"/>
    <w:rsid w:val="10AC760C"/>
    <w:rsid w:val="10D17EEE"/>
    <w:rsid w:val="10E00368"/>
    <w:rsid w:val="112076B2"/>
    <w:rsid w:val="11216B59"/>
    <w:rsid w:val="11282606"/>
    <w:rsid w:val="113D30B6"/>
    <w:rsid w:val="11985D5C"/>
    <w:rsid w:val="11EF034F"/>
    <w:rsid w:val="120414EA"/>
    <w:rsid w:val="12264131"/>
    <w:rsid w:val="12767727"/>
    <w:rsid w:val="12E10BE6"/>
    <w:rsid w:val="130C6140"/>
    <w:rsid w:val="13144FF5"/>
    <w:rsid w:val="13335C64"/>
    <w:rsid w:val="136164BE"/>
    <w:rsid w:val="137A57A0"/>
    <w:rsid w:val="139113D8"/>
    <w:rsid w:val="13BB7B66"/>
    <w:rsid w:val="13E67C05"/>
    <w:rsid w:val="13F54EF0"/>
    <w:rsid w:val="14757D15"/>
    <w:rsid w:val="14A02D52"/>
    <w:rsid w:val="14F56558"/>
    <w:rsid w:val="150A6EE8"/>
    <w:rsid w:val="150B336F"/>
    <w:rsid w:val="152C66C8"/>
    <w:rsid w:val="15473D90"/>
    <w:rsid w:val="154E4FAD"/>
    <w:rsid w:val="15542020"/>
    <w:rsid w:val="15A05CE9"/>
    <w:rsid w:val="15A56E69"/>
    <w:rsid w:val="15B12FCF"/>
    <w:rsid w:val="15D23FE7"/>
    <w:rsid w:val="15EE5FD1"/>
    <w:rsid w:val="160B0931"/>
    <w:rsid w:val="161A12DA"/>
    <w:rsid w:val="1633082F"/>
    <w:rsid w:val="16354F2D"/>
    <w:rsid w:val="165F28F2"/>
    <w:rsid w:val="1673508E"/>
    <w:rsid w:val="16850465"/>
    <w:rsid w:val="168E50BE"/>
    <w:rsid w:val="16A02D75"/>
    <w:rsid w:val="16AD322B"/>
    <w:rsid w:val="16B5089D"/>
    <w:rsid w:val="16BF64DE"/>
    <w:rsid w:val="16EA35BE"/>
    <w:rsid w:val="16EB493B"/>
    <w:rsid w:val="17023532"/>
    <w:rsid w:val="170A7681"/>
    <w:rsid w:val="17144FE5"/>
    <w:rsid w:val="17467154"/>
    <w:rsid w:val="17710040"/>
    <w:rsid w:val="17D9680D"/>
    <w:rsid w:val="17DD5557"/>
    <w:rsid w:val="17EF6030"/>
    <w:rsid w:val="17FE7121"/>
    <w:rsid w:val="180554E8"/>
    <w:rsid w:val="18143465"/>
    <w:rsid w:val="181A3643"/>
    <w:rsid w:val="181E51DE"/>
    <w:rsid w:val="183C2926"/>
    <w:rsid w:val="18431794"/>
    <w:rsid w:val="186775E9"/>
    <w:rsid w:val="189041E1"/>
    <w:rsid w:val="18A1732B"/>
    <w:rsid w:val="19365E84"/>
    <w:rsid w:val="19662322"/>
    <w:rsid w:val="197467ED"/>
    <w:rsid w:val="197636A5"/>
    <w:rsid w:val="19A41BFA"/>
    <w:rsid w:val="19BA45D2"/>
    <w:rsid w:val="1A1908DD"/>
    <w:rsid w:val="1A6037FD"/>
    <w:rsid w:val="1A91517D"/>
    <w:rsid w:val="1AA2382E"/>
    <w:rsid w:val="1B025445"/>
    <w:rsid w:val="1B0A7C3D"/>
    <w:rsid w:val="1B283D33"/>
    <w:rsid w:val="1B300E3A"/>
    <w:rsid w:val="1B340B74"/>
    <w:rsid w:val="1B471CAE"/>
    <w:rsid w:val="1B4F6469"/>
    <w:rsid w:val="1B9D45D4"/>
    <w:rsid w:val="1BAD7AA6"/>
    <w:rsid w:val="1C2F25E9"/>
    <w:rsid w:val="1CBA77BA"/>
    <w:rsid w:val="1CBD66FD"/>
    <w:rsid w:val="1D0F6BB2"/>
    <w:rsid w:val="1D124EF9"/>
    <w:rsid w:val="1D24052A"/>
    <w:rsid w:val="1D484219"/>
    <w:rsid w:val="1D733D6F"/>
    <w:rsid w:val="1D7B3341"/>
    <w:rsid w:val="1D7C2114"/>
    <w:rsid w:val="1D901405"/>
    <w:rsid w:val="1D9106E3"/>
    <w:rsid w:val="1D935B26"/>
    <w:rsid w:val="1DA11B7B"/>
    <w:rsid w:val="1DAD5A2A"/>
    <w:rsid w:val="1DC87804"/>
    <w:rsid w:val="1DCB0C66"/>
    <w:rsid w:val="1DD82A7E"/>
    <w:rsid w:val="1E9D0ACD"/>
    <w:rsid w:val="1EA16A85"/>
    <w:rsid w:val="1ED34241"/>
    <w:rsid w:val="1F022AED"/>
    <w:rsid w:val="1F1F544D"/>
    <w:rsid w:val="1F610FFA"/>
    <w:rsid w:val="1F7170FE"/>
    <w:rsid w:val="1FAC1631"/>
    <w:rsid w:val="1FF00B97"/>
    <w:rsid w:val="20054087"/>
    <w:rsid w:val="20151CC1"/>
    <w:rsid w:val="2039796E"/>
    <w:rsid w:val="20763AC7"/>
    <w:rsid w:val="20E2249C"/>
    <w:rsid w:val="20F379B9"/>
    <w:rsid w:val="21372496"/>
    <w:rsid w:val="213F3B84"/>
    <w:rsid w:val="21467EE5"/>
    <w:rsid w:val="215C5D23"/>
    <w:rsid w:val="216503A0"/>
    <w:rsid w:val="21A437F7"/>
    <w:rsid w:val="22713004"/>
    <w:rsid w:val="22C942FC"/>
    <w:rsid w:val="22D7740D"/>
    <w:rsid w:val="22F0085B"/>
    <w:rsid w:val="232203EE"/>
    <w:rsid w:val="23924066"/>
    <w:rsid w:val="23AF38F2"/>
    <w:rsid w:val="23C245F9"/>
    <w:rsid w:val="23D7717A"/>
    <w:rsid w:val="245445BA"/>
    <w:rsid w:val="246A1DD4"/>
    <w:rsid w:val="247C76C5"/>
    <w:rsid w:val="249726FD"/>
    <w:rsid w:val="24BE3012"/>
    <w:rsid w:val="25554146"/>
    <w:rsid w:val="25645147"/>
    <w:rsid w:val="25FA7D31"/>
    <w:rsid w:val="26140C63"/>
    <w:rsid w:val="2617434C"/>
    <w:rsid w:val="26D774EF"/>
    <w:rsid w:val="26FD2AD4"/>
    <w:rsid w:val="26FF3540"/>
    <w:rsid w:val="27277950"/>
    <w:rsid w:val="272D447F"/>
    <w:rsid w:val="27610CE2"/>
    <w:rsid w:val="277C78A6"/>
    <w:rsid w:val="27981917"/>
    <w:rsid w:val="27AF1AC7"/>
    <w:rsid w:val="280A7BB2"/>
    <w:rsid w:val="284B7A6F"/>
    <w:rsid w:val="28806056"/>
    <w:rsid w:val="288551E6"/>
    <w:rsid w:val="28DF2B11"/>
    <w:rsid w:val="28E26D97"/>
    <w:rsid w:val="29064F88"/>
    <w:rsid w:val="29355DAE"/>
    <w:rsid w:val="294E5C4F"/>
    <w:rsid w:val="2959569B"/>
    <w:rsid w:val="297D5256"/>
    <w:rsid w:val="2987723E"/>
    <w:rsid w:val="2988419C"/>
    <w:rsid w:val="29E4308B"/>
    <w:rsid w:val="29E871A3"/>
    <w:rsid w:val="29EA606A"/>
    <w:rsid w:val="2A113549"/>
    <w:rsid w:val="2A3F7F06"/>
    <w:rsid w:val="2A852A2B"/>
    <w:rsid w:val="2AC87647"/>
    <w:rsid w:val="2AFD78B1"/>
    <w:rsid w:val="2B153A8E"/>
    <w:rsid w:val="2B1F1F97"/>
    <w:rsid w:val="2B1F3E2A"/>
    <w:rsid w:val="2B2112CD"/>
    <w:rsid w:val="2B3C6C8B"/>
    <w:rsid w:val="2BAF2C8A"/>
    <w:rsid w:val="2BB316D1"/>
    <w:rsid w:val="2BEC66B7"/>
    <w:rsid w:val="2BED377F"/>
    <w:rsid w:val="2BEF7F55"/>
    <w:rsid w:val="2C273B93"/>
    <w:rsid w:val="2C493B09"/>
    <w:rsid w:val="2C4A457A"/>
    <w:rsid w:val="2C4B06FB"/>
    <w:rsid w:val="2C622643"/>
    <w:rsid w:val="2C953C10"/>
    <w:rsid w:val="2CA635FA"/>
    <w:rsid w:val="2CAE7512"/>
    <w:rsid w:val="2CEE3A70"/>
    <w:rsid w:val="2CF06945"/>
    <w:rsid w:val="2D376058"/>
    <w:rsid w:val="2D3B1008"/>
    <w:rsid w:val="2D426ED6"/>
    <w:rsid w:val="2D6329A9"/>
    <w:rsid w:val="2D791CB6"/>
    <w:rsid w:val="2DA07C21"/>
    <w:rsid w:val="2DD23210"/>
    <w:rsid w:val="2DF16BA1"/>
    <w:rsid w:val="2E202043"/>
    <w:rsid w:val="2E2C09BB"/>
    <w:rsid w:val="2E61338C"/>
    <w:rsid w:val="2E694E64"/>
    <w:rsid w:val="2EAA6C13"/>
    <w:rsid w:val="2ED753FC"/>
    <w:rsid w:val="2F4970F3"/>
    <w:rsid w:val="2F685217"/>
    <w:rsid w:val="2F9439F3"/>
    <w:rsid w:val="2FA66F49"/>
    <w:rsid w:val="2FB13E9F"/>
    <w:rsid w:val="2FC42C8C"/>
    <w:rsid w:val="2FEE49A9"/>
    <w:rsid w:val="2FF042A6"/>
    <w:rsid w:val="300E11D4"/>
    <w:rsid w:val="301D5161"/>
    <w:rsid w:val="30394661"/>
    <w:rsid w:val="30497D71"/>
    <w:rsid w:val="306C6018"/>
    <w:rsid w:val="30891EDC"/>
    <w:rsid w:val="30F6205C"/>
    <w:rsid w:val="31093867"/>
    <w:rsid w:val="313C7983"/>
    <w:rsid w:val="315F0252"/>
    <w:rsid w:val="31613472"/>
    <w:rsid w:val="31705BD8"/>
    <w:rsid w:val="31D63E80"/>
    <w:rsid w:val="31F664D7"/>
    <w:rsid w:val="32753AC7"/>
    <w:rsid w:val="32AB763E"/>
    <w:rsid w:val="32B16EDD"/>
    <w:rsid w:val="32B83797"/>
    <w:rsid w:val="335607AB"/>
    <w:rsid w:val="337326B7"/>
    <w:rsid w:val="33937BF2"/>
    <w:rsid w:val="33E42C4A"/>
    <w:rsid w:val="34265341"/>
    <w:rsid w:val="34963664"/>
    <w:rsid w:val="34AB164B"/>
    <w:rsid w:val="34E26A4C"/>
    <w:rsid w:val="35373964"/>
    <w:rsid w:val="355D5EB4"/>
    <w:rsid w:val="35690D78"/>
    <w:rsid w:val="35700359"/>
    <w:rsid w:val="357072EB"/>
    <w:rsid w:val="357A11D7"/>
    <w:rsid w:val="35AA386B"/>
    <w:rsid w:val="35CB37E1"/>
    <w:rsid w:val="35CE1254"/>
    <w:rsid w:val="36462E68"/>
    <w:rsid w:val="368E4D24"/>
    <w:rsid w:val="369B37DD"/>
    <w:rsid w:val="36D91818"/>
    <w:rsid w:val="37015BC4"/>
    <w:rsid w:val="37184006"/>
    <w:rsid w:val="376D0482"/>
    <w:rsid w:val="37701F77"/>
    <w:rsid w:val="37A10160"/>
    <w:rsid w:val="37A20350"/>
    <w:rsid w:val="37C22062"/>
    <w:rsid w:val="37F556C0"/>
    <w:rsid w:val="380D7719"/>
    <w:rsid w:val="382237B4"/>
    <w:rsid w:val="38241EDF"/>
    <w:rsid w:val="38503AF0"/>
    <w:rsid w:val="3876134F"/>
    <w:rsid w:val="38887767"/>
    <w:rsid w:val="389C7518"/>
    <w:rsid w:val="38A026A3"/>
    <w:rsid w:val="396E1804"/>
    <w:rsid w:val="39A4356C"/>
    <w:rsid w:val="39DC3C4B"/>
    <w:rsid w:val="39DF7D7B"/>
    <w:rsid w:val="3A996B70"/>
    <w:rsid w:val="3AAE7908"/>
    <w:rsid w:val="3AE46108"/>
    <w:rsid w:val="3AF4696E"/>
    <w:rsid w:val="3B0A2211"/>
    <w:rsid w:val="3B2C4D22"/>
    <w:rsid w:val="3B2F65C0"/>
    <w:rsid w:val="3B585B17"/>
    <w:rsid w:val="3B731CC6"/>
    <w:rsid w:val="3B8561E0"/>
    <w:rsid w:val="3C084F1F"/>
    <w:rsid w:val="3C4D3736"/>
    <w:rsid w:val="3C500906"/>
    <w:rsid w:val="3C675B70"/>
    <w:rsid w:val="3CFE4647"/>
    <w:rsid w:val="3D51281E"/>
    <w:rsid w:val="3D73350D"/>
    <w:rsid w:val="3D736C38"/>
    <w:rsid w:val="3DE76BD5"/>
    <w:rsid w:val="3DEA6C6F"/>
    <w:rsid w:val="3E34472A"/>
    <w:rsid w:val="3E35607B"/>
    <w:rsid w:val="3E391C30"/>
    <w:rsid w:val="3E7A5293"/>
    <w:rsid w:val="3E820042"/>
    <w:rsid w:val="3E895FE7"/>
    <w:rsid w:val="3EE651E8"/>
    <w:rsid w:val="3F170939"/>
    <w:rsid w:val="3F5208A2"/>
    <w:rsid w:val="3F54050A"/>
    <w:rsid w:val="3F5C6052"/>
    <w:rsid w:val="40020998"/>
    <w:rsid w:val="40302E3E"/>
    <w:rsid w:val="403159A6"/>
    <w:rsid w:val="40471F45"/>
    <w:rsid w:val="405A1FD9"/>
    <w:rsid w:val="40E10405"/>
    <w:rsid w:val="40F672AA"/>
    <w:rsid w:val="41092F48"/>
    <w:rsid w:val="411A559F"/>
    <w:rsid w:val="413810FE"/>
    <w:rsid w:val="41477009"/>
    <w:rsid w:val="415D3B8B"/>
    <w:rsid w:val="416D04D4"/>
    <w:rsid w:val="41716AD2"/>
    <w:rsid w:val="417F44DF"/>
    <w:rsid w:val="41856F3A"/>
    <w:rsid w:val="41A2106C"/>
    <w:rsid w:val="41C2091E"/>
    <w:rsid w:val="41CC65E4"/>
    <w:rsid w:val="41E164DD"/>
    <w:rsid w:val="421B789E"/>
    <w:rsid w:val="422B35DF"/>
    <w:rsid w:val="42372D35"/>
    <w:rsid w:val="423D7815"/>
    <w:rsid w:val="424E5A72"/>
    <w:rsid w:val="426D00B6"/>
    <w:rsid w:val="428C42F8"/>
    <w:rsid w:val="42DC7504"/>
    <w:rsid w:val="43671800"/>
    <w:rsid w:val="436E26EF"/>
    <w:rsid w:val="436F1A16"/>
    <w:rsid w:val="437D4F3E"/>
    <w:rsid w:val="43C15685"/>
    <w:rsid w:val="44266637"/>
    <w:rsid w:val="442C305C"/>
    <w:rsid w:val="444529B0"/>
    <w:rsid w:val="44473E0C"/>
    <w:rsid w:val="4456696C"/>
    <w:rsid w:val="44845B8F"/>
    <w:rsid w:val="45193CEE"/>
    <w:rsid w:val="45825805"/>
    <w:rsid w:val="459738AC"/>
    <w:rsid w:val="459D73E9"/>
    <w:rsid w:val="45A954BD"/>
    <w:rsid w:val="45B95AA0"/>
    <w:rsid w:val="45C06DDA"/>
    <w:rsid w:val="46097D35"/>
    <w:rsid w:val="460D7E82"/>
    <w:rsid w:val="46A66E1A"/>
    <w:rsid w:val="46C26758"/>
    <w:rsid w:val="46C6427C"/>
    <w:rsid w:val="46F106CB"/>
    <w:rsid w:val="470D67D5"/>
    <w:rsid w:val="4716503A"/>
    <w:rsid w:val="475351EA"/>
    <w:rsid w:val="47855EE6"/>
    <w:rsid w:val="4795328D"/>
    <w:rsid w:val="47CD49CE"/>
    <w:rsid w:val="47E40CEC"/>
    <w:rsid w:val="4807456B"/>
    <w:rsid w:val="4809772E"/>
    <w:rsid w:val="481B23A6"/>
    <w:rsid w:val="485458B8"/>
    <w:rsid w:val="48C91E02"/>
    <w:rsid w:val="48D42E52"/>
    <w:rsid w:val="48E5391A"/>
    <w:rsid w:val="48EA03FC"/>
    <w:rsid w:val="49336A3E"/>
    <w:rsid w:val="49341853"/>
    <w:rsid w:val="49374EF6"/>
    <w:rsid w:val="494D6A3D"/>
    <w:rsid w:val="495F199D"/>
    <w:rsid w:val="49AB4C93"/>
    <w:rsid w:val="49E862B8"/>
    <w:rsid w:val="49EC224C"/>
    <w:rsid w:val="49F859D9"/>
    <w:rsid w:val="4A5660E6"/>
    <w:rsid w:val="4A8F4985"/>
    <w:rsid w:val="4AE40A38"/>
    <w:rsid w:val="4B6B57A1"/>
    <w:rsid w:val="4B723169"/>
    <w:rsid w:val="4B7F0E9E"/>
    <w:rsid w:val="4BB5041C"/>
    <w:rsid w:val="4BE713A6"/>
    <w:rsid w:val="4BF748ED"/>
    <w:rsid w:val="4C033F52"/>
    <w:rsid w:val="4C081354"/>
    <w:rsid w:val="4C1D6268"/>
    <w:rsid w:val="4C1E6508"/>
    <w:rsid w:val="4C4D7146"/>
    <w:rsid w:val="4C5E0F6B"/>
    <w:rsid w:val="4C905754"/>
    <w:rsid w:val="4C9901D6"/>
    <w:rsid w:val="4CF60CEC"/>
    <w:rsid w:val="4D0B652E"/>
    <w:rsid w:val="4D193ECD"/>
    <w:rsid w:val="4D3B7E90"/>
    <w:rsid w:val="4D64189A"/>
    <w:rsid w:val="4DA50798"/>
    <w:rsid w:val="4DEE1F0F"/>
    <w:rsid w:val="4DF6427A"/>
    <w:rsid w:val="4E194ABA"/>
    <w:rsid w:val="4E487C6D"/>
    <w:rsid w:val="4E561EDE"/>
    <w:rsid w:val="4E5A52AA"/>
    <w:rsid w:val="4E6A15BD"/>
    <w:rsid w:val="4E8B2815"/>
    <w:rsid w:val="4EC2357B"/>
    <w:rsid w:val="4ED67156"/>
    <w:rsid w:val="4F411689"/>
    <w:rsid w:val="4F481724"/>
    <w:rsid w:val="4F50502B"/>
    <w:rsid w:val="4F964D9C"/>
    <w:rsid w:val="4FEB4C83"/>
    <w:rsid w:val="50011E81"/>
    <w:rsid w:val="50164D0E"/>
    <w:rsid w:val="501E6696"/>
    <w:rsid w:val="50345775"/>
    <w:rsid w:val="50614730"/>
    <w:rsid w:val="50787340"/>
    <w:rsid w:val="50845121"/>
    <w:rsid w:val="508A1E77"/>
    <w:rsid w:val="509201D9"/>
    <w:rsid w:val="50A34E49"/>
    <w:rsid w:val="50F037D7"/>
    <w:rsid w:val="512C07A6"/>
    <w:rsid w:val="514278A6"/>
    <w:rsid w:val="5197760A"/>
    <w:rsid w:val="51B27751"/>
    <w:rsid w:val="51C413B8"/>
    <w:rsid w:val="52316E05"/>
    <w:rsid w:val="524B0E5E"/>
    <w:rsid w:val="528949E9"/>
    <w:rsid w:val="52A64F62"/>
    <w:rsid w:val="52C1479A"/>
    <w:rsid w:val="52D90B4C"/>
    <w:rsid w:val="52E65221"/>
    <w:rsid w:val="532540D9"/>
    <w:rsid w:val="535247CA"/>
    <w:rsid w:val="5371731E"/>
    <w:rsid w:val="53E42B9F"/>
    <w:rsid w:val="547C5F7A"/>
    <w:rsid w:val="54952F6F"/>
    <w:rsid w:val="54D252B7"/>
    <w:rsid w:val="54F71AAA"/>
    <w:rsid w:val="55191A1B"/>
    <w:rsid w:val="554E48CB"/>
    <w:rsid w:val="554E6F68"/>
    <w:rsid w:val="556E4B02"/>
    <w:rsid w:val="556F788D"/>
    <w:rsid w:val="557632C5"/>
    <w:rsid w:val="55AF0A0E"/>
    <w:rsid w:val="55B41E33"/>
    <w:rsid w:val="55BA745B"/>
    <w:rsid w:val="5610582D"/>
    <w:rsid w:val="56135CFB"/>
    <w:rsid w:val="56153315"/>
    <w:rsid w:val="564D4072"/>
    <w:rsid w:val="56560104"/>
    <w:rsid w:val="567333AD"/>
    <w:rsid w:val="56AC7D71"/>
    <w:rsid w:val="56F93D18"/>
    <w:rsid w:val="570565C9"/>
    <w:rsid w:val="57345AA9"/>
    <w:rsid w:val="57414C98"/>
    <w:rsid w:val="575E3C09"/>
    <w:rsid w:val="57605E09"/>
    <w:rsid w:val="57714B4C"/>
    <w:rsid w:val="577E025B"/>
    <w:rsid w:val="57AB1879"/>
    <w:rsid w:val="584B73FD"/>
    <w:rsid w:val="58994799"/>
    <w:rsid w:val="58A11513"/>
    <w:rsid w:val="58A61818"/>
    <w:rsid w:val="58AC7F91"/>
    <w:rsid w:val="58E36471"/>
    <w:rsid w:val="58F1012E"/>
    <w:rsid w:val="593534E5"/>
    <w:rsid w:val="595239AF"/>
    <w:rsid w:val="59620491"/>
    <w:rsid w:val="59AD0D3B"/>
    <w:rsid w:val="59D602B3"/>
    <w:rsid w:val="59E22695"/>
    <w:rsid w:val="5A0B45F5"/>
    <w:rsid w:val="5A454E5D"/>
    <w:rsid w:val="5A8E6A07"/>
    <w:rsid w:val="5AC62645"/>
    <w:rsid w:val="5BA52719"/>
    <w:rsid w:val="5BA76ED9"/>
    <w:rsid w:val="5BCB46CA"/>
    <w:rsid w:val="5BE52178"/>
    <w:rsid w:val="5BF26FDC"/>
    <w:rsid w:val="5BF32B3E"/>
    <w:rsid w:val="5C272C70"/>
    <w:rsid w:val="5C3D06E5"/>
    <w:rsid w:val="5C602626"/>
    <w:rsid w:val="5C995507"/>
    <w:rsid w:val="5C9C3B34"/>
    <w:rsid w:val="5CD53227"/>
    <w:rsid w:val="5CD647C9"/>
    <w:rsid w:val="5CE80740"/>
    <w:rsid w:val="5D1D4073"/>
    <w:rsid w:val="5D2F2D9D"/>
    <w:rsid w:val="5D333896"/>
    <w:rsid w:val="5D6D6389"/>
    <w:rsid w:val="5D79399F"/>
    <w:rsid w:val="5DAA4B7F"/>
    <w:rsid w:val="5DCB0D4A"/>
    <w:rsid w:val="5DF06F7F"/>
    <w:rsid w:val="5DFD0F78"/>
    <w:rsid w:val="5E3E0947"/>
    <w:rsid w:val="5E455878"/>
    <w:rsid w:val="5E8E535C"/>
    <w:rsid w:val="5E9254F4"/>
    <w:rsid w:val="5EAF6E28"/>
    <w:rsid w:val="5EF97152"/>
    <w:rsid w:val="5F176B60"/>
    <w:rsid w:val="5F1D6DFA"/>
    <w:rsid w:val="5F3C1A96"/>
    <w:rsid w:val="5FA929E5"/>
    <w:rsid w:val="5FB51005"/>
    <w:rsid w:val="5FCE7C70"/>
    <w:rsid w:val="60980263"/>
    <w:rsid w:val="60B254BD"/>
    <w:rsid w:val="60B96340"/>
    <w:rsid w:val="60B975CA"/>
    <w:rsid w:val="60DF4C2D"/>
    <w:rsid w:val="60E3510A"/>
    <w:rsid w:val="60EC6323"/>
    <w:rsid w:val="60F0058B"/>
    <w:rsid w:val="60FE1FBC"/>
    <w:rsid w:val="611166BA"/>
    <w:rsid w:val="612C75E0"/>
    <w:rsid w:val="613C576B"/>
    <w:rsid w:val="6178448A"/>
    <w:rsid w:val="61B1017A"/>
    <w:rsid w:val="61B76A20"/>
    <w:rsid w:val="61C71F5B"/>
    <w:rsid w:val="61CA5FBE"/>
    <w:rsid w:val="61DC2869"/>
    <w:rsid w:val="61EE2C57"/>
    <w:rsid w:val="61F937BA"/>
    <w:rsid w:val="621A6FE4"/>
    <w:rsid w:val="623136E9"/>
    <w:rsid w:val="62367486"/>
    <w:rsid w:val="62481281"/>
    <w:rsid w:val="625247BE"/>
    <w:rsid w:val="62562CF8"/>
    <w:rsid w:val="62644F32"/>
    <w:rsid w:val="6299063F"/>
    <w:rsid w:val="62BD6F33"/>
    <w:rsid w:val="62E418BB"/>
    <w:rsid w:val="62F75CFE"/>
    <w:rsid w:val="63044427"/>
    <w:rsid w:val="631C5F18"/>
    <w:rsid w:val="634B7B8C"/>
    <w:rsid w:val="63996408"/>
    <w:rsid w:val="63DC427F"/>
    <w:rsid w:val="64426F7B"/>
    <w:rsid w:val="644C3BBB"/>
    <w:rsid w:val="644F681B"/>
    <w:rsid w:val="6454481E"/>
    <w:rsid w:val="64A15589"/>
    <w:rsid w:val="65576E41"/>
    <w:rsid w:val="655B2DD2"/>
    <w:rsid w:val="65621731"/>
    <w:rsid w:val="656973BF"/>
    <w:rsid w:val="658E5B0E"/>
    <w:rsid w:val="659529C0"/>
    <w:rsid w:val="65BC2708"/>
    <w:rsid w:val="65C23A09"/>
    <w:rsid w:val="65C57BBA"/>
    <w:rsid w:val="6613527D"/>
    <w:rsid w:val="66427B15"/>
    <w:rsid w:val="66467ED6"/>
    <w:rsid w:val="66530638"/>
    <w:rsid w:val="666B22F3"/>
    <w:rsid w:val="666F3B91"/>
    <w:rsid w:val="66E73829"/>
    <w:rsid w:val="671D731C"/>
    <w:rsid w:val="6729387D"/>
    <w:rsid w:val="67394E41"/>
    <w:rsid w:val="674D7575"/>
    <w:rsid w:val="674E12D3"/>
    <w:rsid w:val="67611B8A"/>
    <w:rsid w:val="679572FD"/>
    <w:rsid w:val="6809591F"/>
    <w:rsid w:val="6817016F"/>
    <w:rsid w:val="681A5D7E"/>
    <w:rsid w:val="684908E0"/>
    <w:rsid w:val="685B2A1A"/>
    <w:rsid w:val="68806246"/>
    <w:rsid w:val="68CF3983"/>
    <w:rsid w:val="68D21F68"/>
    <w:rsid w:val="68D73C6F"/>
    <w:rsid w:val="68EA7DB9"/>
    <w:rsid w:val="690016AE"/>
    <w:rsid w:val="6910579F"/>
    <w:rsid w:val="69AF609C"/>
    <w:rsid w:val="69AF73C2"/>
    <w:rsid w:val="69EE7E1F"/>
    <w:rsid w:val="69F525FF"/>
    <w:rsid w:val="6A040A94"/>
    <w:rsid w:val="6AA6228A"/>
    <w:rsid w:val="6B0359FB"/>
    <w:rsid w:val="6B1940CB"/>
    <w:rsid w:val="6B1B3445"/>
    <w:rsid w:val="6B4136D3"/>
    <w:rsid w:val="6B5B46E4"/>
    <w:rsid w:val="6B8612AF"/>
    <w:rsid w:val="6BC0180B"/>
    <w:rsid w:val="6BCB0E92"/>
    <w:rsid w:val="6BE96194"/>
    <w:rsid w:val="6C1665F5"/>
    <w:rsid w:val="6C8B0670"/>
    <w:rsid w:val="6CC102E1"/>
    <w:rsid w:val="6CEF5669"/>
    <w:rsid w:val="6CF576B4"/>
    <w:rsid w:val="6D1836F4"/>
    <w:rsid w:val="6D412A49"/>
    <w:rsid w:val="6E135B3A"/>
    <w:rsid w:val="6E1C5484"/>
    <w:rsid w:val="6E5E554C"/>
    <w:rsid w:val="6E683DEA"/>
    <w:rsid w:val="6EB4346B"/>
    <w:rsid w:val="6EBD3289"/>
    <w:rsid w:val="6EEF1D13"/>
    <w:rsid w:val="6EF235B1"/>
    <w:rsid w:val="6EFD3D5B"/>
    <w:rsid w:val="6F483AAF"/>
    <w:rsid w:val="6F5E6A28"/>
    <w:rsid w:val="6F6B2C1E"/>
    <w:rsid w:val="6F9B0B59"/>
    <w:rsid w:val="702A49D4"/>
    <w:rsid w:val="705629B4"/>
    <w:rsid w:val="706527C1"/>
    <w:rsid w:val="70A5231A"/>
    <w:rsid w:val="70E07551"/>
    <w:rsid w:val="70EE2737"/>
    <w:rsid w:val="70FD53E8"/>
    <w:rsid w:val="7111567C"/>
    <w:rsid w:val="71264385"/>
    <w:rsid w:val="71463740"/>
    <w:rsid w:val="71687FC3"/>
    <w:rsid w:val="718465E5"/>
    <w:rsid w:val="719C15B2"/>
    <w:rsid w:val="71BC7EA6"/>
    <w:rsid w:val="71DD22F7"/>
    <w:rsid w:val="71FE28AC"/>
    <w:rsid w:val="72046F67"/>
    <w:rsid w:val="72832C98"/>
    <w:rsid w:val="72A34D66"/>
    <w:rsid w:val="72F9705E"/>
    <w:rsid w:val="731612DA"/>
    <w:rsid w:val="731C6E4F"/>
    <w:rsid w:val="73216213"/>
    <w:rsid w:val="73277A70"/>
    <w:rsid w:val="733675B0"/>
    <w:rsid w:val="735B38C2"/>
    <w:rsid w:val="73644352"/>
    <w:rsid w:val="73B928EF"/>
    <w:rsid w:val="73BB7764"/>
    <w:rsid w:val="73C00648"/>
    <w:rsid w:val="743A09AC"/>
    <w:rsid w:val="748C4417"/>
    <w:rsid w:val="74AB4451"/>
    <w:rsid w:val="753F7DDE"/>
    <w:rsid w:val="75C94940"/>
    <w:rsid w:val="761A59AA"/>
    <w:rsid w:val="764408F0"/>
    <w:rsid w:val="768A0550"/>
    <w:rsid w:val="769F7D2D"/>
    <w:rsid w:val="76AC5624"/>
    <w:rsid w:val="76C07AF1"/>
    <w:rsid w:val="76E2215D"/>
    <w:rsid w:val="76E71522"/>
    <w:rsid w:val="76F81981"/>
    <w:rsid w:val="7719592A"/>
    <w:rsid w:val="77265838"/>
    <w:rsid w:val="77453A70"/>
    <w:rsid w:val="774B47AB"/>
    <w:rsid w:val="774E6F23"/>
    <w:rsid w:val="77507CEA"/>
    <w:rsid w:val="77715B79"/>
    <w:rsid w:val="777F010A"/>
    <w:rsid w:val="779D7E32"/>
    <w:rsid w:val="77A25449"/>
    <w:rsid w:val="77BA4AAF"/>
    <w:rsid w:val="77EB6DF0"/>
    <w:rsid w:val="77F113EF"/>
    <w:rsid w:val="77F60626"/>
    <w:rsid w:val="78212811"/>
    <w:rsid w:val="787C3EEC"/>
    <w:rsid w:val="787D3895"/>
    <w:rsid w:val="78B20E18"/>
    <w:rsid w:val="78E8311B"/>
    <w:rsid w:val="78E977D3"/>
    <w:rsid w:val="792627D5"/>
    <w:rsid w:val="79462B72"/>
    <w:rsid w:val="7958008A"/>
    <w:rsid w:val="796055BB"/>
    <w:rsid w:val="798A4AAA"/>
    <w:rsid w:val="798F1F3A"/>
    <w:rsid w:val="79AD390E"/>
    <w:rsid w:val="79BD5564"/>
    <w:rsid w:val="79D622C7"/>
    <w:rsid w:val="7A0917AF"/>
    <w:rsid w:val="7A266805"/>
    <w:rsid w:val="7AC202DC"/>
    <w:rsid w:val="7AC8734D"/>
    <w:rsid w:val="7B0922E3"/>
    <w:rsid w:val="7B167383"/>
    <w:rsid w:val="7B5B603A"/>
    <w:rsid w:val="7B675EDE"/>
    <w:rsid w:val="7C6B3CCF"/>
    <w:rsid w:val="7C6D40EB"/>
    <w:rsid w:val="7C716D32"/>
    <w:rsid w:val="7C7C095E"/>
    <w:rsid w:val="7CA86118"/>
    <w:rsid w:val="7CB400F8"/>
    <w:rsid w:val="7CF04285"/>
    <w:rsid w:val="7CF87BDF"/>
    <w:rsid w:val="7D2C5EE0"/>
    <w:rsid w:val="7DB239A7"/>
    <w:rsid w:val="7DD21AAC"/>
    <w:rsid w:val="7E12622D"/>
    <w:rsid w:val="7E20494F"/>
    <w:rsid w:val="7EAF0B77"/>
    <w:rsid w:val="7EE822DB"/>
    <w:rsid w:val="7F1C059D"/>
    <w:rsid w:val="7F413799"/>
    <w:rsid w:val="7F49127B"/>
    <w:rsid w:val="7F72355B"/>
    <w:rsid w:val="7F9D58B6"/>
    <w:rsid w:val="7FB0104A"/>
    <w:rsid w:val="7FC44AF6"/>
    <w:rsid w:val="7FD13EEA"/>
    <w:rsid w:val="7FDB599C"/>
    <w:rsid w:val="7FFB7D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5"/>
    <w:qFormat/>
    <w:uiPriority w:val="0"/>
    <w:pPr>
      <w:jc w:val="left"/>
    </w:pPr>
  </w:style>
  <w:style w:type="paragraph" w:styleId="3">
    <w:name w:val="Balloon Text"/>
    <w:basedOn w:val="1"/>
    <w:link w:val="17"/>
    <w:qFormat/>
    <w:uiPriority w:val="0"/>
    <w:rPr>
      <w:sz w:val="18"/>
      <w:szCs w:val="18"/>
    </w:rPr>
  </w:style>
  <w:style w:type="paragraph" w:styleId="4">
    <w:name w:val="footer"/>
    <w:basedOn w:val="1"/>
    <w:qFormat/>
    <w:uiPriority w:val="0"/>
    <w:pPr>
      <w:tabs>
        <w:tab w:val="center" w:pos="4153"/>
        <w:tab w:val="right" w:pos="8306"/>
      </w:tabs>
      <w:snapToGrid w:val="0"/>
      <w:jc w:val="left"/>
    </w:pPr>
    <w:rPr>
      <w:kern w:val="0"/>
      <w:sz w:val="18"/>
      <w:szCs w:val="18"/>
    </w:rPr>
  </w:style>
  <w:style w:type="paragraph" w:styleId="5">
    <w:name w:val="header"/>
    <w:basedOn w:val="1"/>
    <w:link w:val="12"/>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99"/>
    <w:pPr>
      <w:spacing w:beforeAutospacing="1" w:afterAutospacing="1"/>
      <w:jc w:val="left"/>
    </w:pPr>
    <w:rPr>
      <w:kern w:val="0"/>
      <w:sz w:val="24"/>
    </w:rPr>
  </w:style>
  <w:style w:type="paragraph" w:styleId="7">
    <w:name w:val="annotation subject"/>
    <w:basedOn w:val="2"/>
    <w:next w:val="2"/>
    <w:link w:val="16"/>
    <w:qFormat/>
    <w:uiPriority w:val="0"/>
    <w:rPr>
      <w:b/>
      <w:bCs/>
    </w:rPr>
  </w:style>
  <w:style w:type="table" w:styleId="9">
    <w:name w:val="Table Grid"/>
    <w:basedOn w:val="8"/>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1">
    <w:name w:val="annotation reference"/>
    <w:basedOn w:val="10"/>
    <w:qFormat/>
    <w:uiPriority w:val="0"/>
    <w:rPr>
      <w:sz w:val="21"/>
      <w:szCs w:val="21"/>
    </w:rPr>
  </w:style>
  <w:style w:type="character" w:customStyle="1" w:styleId="12">
    <w:name w:val="页眉 字符"/>
    <w:basedOn w:val="10"/>
    <w:link w:val="5"/>
    <w:qFormat/>
    <w:uiPriority w:val="0"/>
    <w:rPr>
      <w:rFonts w:ascii="Times New Roman" w:hAnsi="Times New Roman" w:cs="Times New Roman"/>
      <w:kern w:val="2"/>
      <w:sz w:val="18"/>
      <w:szCs w:val="18"/>
    </w:rPr>
  </w:style>
  <w:style w:type="paragraph" w:customStyle="1" w:styleId="13">
    <w:name w:val="Char"/>
    <w:basedOn w:val="1"/>
    <w:next w:val="1"/>
    <w:qFormat/>
    <w:uiPriority w:val="0"/>
    <w:pPr>
      <w:spacing w:after="160" w:line="240" w:lineRule="exact"/>
    </w:pPr>
    <w:rPr>
      <w:szCs w:val="20"/>
    </w:rPr>
  </w:style>
  <w:style w:type="paragraph" w:customStyle="1" w:styleId="14">
    <w:name w:val="列出段落"/>
    <w:basedOn w:val="1"/>
    <w:qFormat/>
    <w:uiPriority w:val="0"/>
    <w:pPr>
      <w:ind w:firstLine="420" w:firstLineChars="200"/>
    </w:pPr>
    <w:rPr>
      <w:rFonts w:ascii="Calibri" w:hAnsi="Calibri"/>
      <w:szCs w:val="22"/>
    </w:rPr>
  </w:style>
  <w:style w:type="character" w:customStyle="1" w:styleId="15">
    <w:name w:val="批注文字 字符"/>
    <w:basedOn w:val="10"/>
    <w:link w:val="2"/>
    <w:qFormat/>
    <w:uiPriority w:val="0"/>
    <w:rPr>
      <w:kern w:val="2"/>
      <w:sz w:val="21"/>
      <w:szCs w:val="24"/>
    </w:rPr>
  </w:style>
  <w:style w:type="character" w:customStyle="1" w:styleId="16">
    <w:name w:val="批注主题 字符"/>
    <w:basedOn w:val="15"/>
    <w:link w:val="7"/>
    <w:qFormat/>
    <w:uiPriority w:val="0"/>
    <w:rPr>
      <w:b/>
      <w:bCs/>
      <w:kern w:val="2"/>
      <w:sz w:val="21"/>
      <w:szCs w:val="24"/>
    </w:rPr>
  </w:style>
  <w:style w:type="character" w:customStyle="1" w:styleId="17">
    <w:name w:val="批注框文本 字符"/>
    <w:basedOn w:val="10"/>
    <w:link w:val="3"/>
    <w:qFormat/>
    <w:uiPriority w:val="0"/>
    <w:rPr>
      <w:kern w:val="2"/>
      <w:sz w:val="18"/>
      <w:szCs w:val="18"/>
    </w:rPr>
  </w:style>
  <w:style w:type="paragraph" w:styleId="18">
    <w:name w:val="List Paragraph"/>
    <w:basedOn w:val="1"/>
    <w:qFormat/>
    <w:uiPriority w:val="99"/>
    <w:pPr>
      <w:ind w:firstLine="420" w:firstLineChars="200"/>
    </w:pPr>
  </w:style>
  <w:style w:type="table" w:customStyle="1" w:styleId="19">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44</Pages>
  <Words>14775</Words>
  <Characters>17482</Characters>
  <Lines>146</Lines>
  <Paragraphs>41</Paragraphs>
  <TotalTime>39</TotalTime>
  <ScaleCrop>false</ScaleCrop>
  <LinksUpToDate>false</LinksUpToDate>
  <CharactersWithSpaces>17883</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2021-05-12T15:22:00Z</dcterms:created>
  <dc:creator>73811</dc:creator>
  <cp:lastModifiedBy>龙友玉</cp:lastModifiedBy>
  <dcterms:modified xsi:type="dcterms:W3CDTF">2022-06-20T06:57:59Z</dcterms:modified>
  <cp:revision>256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KSOSaveFontToCloudKey">
    <vt:lpwstr>443421287_cloud</vt:lpwstr>
  </property>
  <property fmtid="{D5CDD505-2E9C-101B-9397-08002B2CF9AE}" pid="4" name="ICV">
    <vt:lpwstr>442659C25DCA47BCB5B4426AAE62E556</vt:lpwstr>
  </property>
</Properties>
</file>