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rPr>
          <w:rFonts w:eastAsia="黑体"/>
          <w:color w:val="auto"/>
          <w:sz w:val="32"/>
          <w:szCs w:val="32"/>
          <w:highlight w:val="none"/>
        </w:rPr>
      </w:pPr>
    </w:p>
    <w:p>
      <w:pPr>
        <w:jc w:val="center"/>
        <w:rPr>
          <w:rFonts w:ascii="方正小标宋简体" w:hAnsi="方正小标宋简体" w:eastAsia="方正小标宋简体" w:cs="方正小标宋简体"/>
          <w:b/>
          <w:bCs/>
          <w:color w:val="auto"/>
          <w:sz w:val="44"/>
          <w:szCs w:val="44"/>
          <w:highlight w:val="none"/>
        </w:rPr>
      </w:pPr>
      <w:r>
        <w:rPr>
          <w:rFonts w:hint="eastAsia" w:ascii="方正小标宋简体" w:hAnsi="方正小标宋简体" w:eastAsia="方正小标宋简体" w:cs="方正小标宋简体"/>
          <w:b/>
          <w:bCs/>
          <w:color w:val="auto"/>
          <w:sz w:val="44"/>
          <w:szCs w:val="44"/>
          <w:highlight w:val="none"/>
        </w:rPr>
        <w:t xml:space="preserve"> 湘西土家族苗族自治州</w:t>
      </w:r>
      <w:bookmarkStart w:id="0" w:name="_Hlk74171254"/>
      <w:r>
        <w:rPr>
          <w:rFonts w:hint="eastAsia" w:ascii="方正小标宋简体" w:hAnsi="方正小标宋简体" w:eastAsia="方正小标宋简体" w:cs="方正小标宋简体"/>
          <w:b/>
          <w:bCs/>
          <w:color w:val="auto"/>
          <w:sz w:val="44"/>
          <w:szCs w:val="44"/>
          <w:highlight w:val="none"/>
        </w:rPr>
        <w:t>工业和信息化局</w:t>
      </w:r>
      <w:bookmarkEnd w:id="0"/>
    </w:p>
    <w:p>
      <w:pPr>
        <w:jc w:val="center"/>
        <w:rPr>
          <w:rFonts w:ascii="方正小标宋简体" w:hAnsi="方正小标宋简体" w:eastAsia="方正小标宋简体" w:cs="方正小标宋简体"/>
          <w:b/>
          <w:bCs/>
          <w:color w:val="auto"/>
          <w:sz w:val="44"/>
          <w:szCs w:val="44"/>
          <w:highlight w:val="none"/>
        </w:rPr>
      </w:pPr>
      <w:r>
        <w:rPr>
          <w:rFonts w:hint="eastAsia" w:ascii="方正小标宋简体" w:hAnsi="方正小标宋简体" w:eastAsia="方正小标宋简体" w:cs="方正小标宋简体"/>
          <w:b/>
          <w:bCs/>
          <w:color w:val="auto"/>
          <w:sz w:val="44"/>
          <w:szCs w:val="44"/>
          <w:highlight w:val="none"/>
        </w:rPr>
        <w:t>202</w:t>
      </w:r>
      <w:r>
        <w:rPr>
          <w:rFonts w:hint="eastAsia" w:ascii="方正小标宋简体" w:hAnsi="方正小标宋简体" w:eastAsia="方正小标宋简体" w:cs="方正小标宋简体"/>
          <w:b/>
          <w:bCs/>
          <w:color w:val="auto"/>
          <w:sz w:val="44"/>
          <w:szCs w:val="44"/>
          <w:highlight w:val="none"/>
          <w:lang w:val="en-US" w:eastAsia="zh-CN"/>
        </w:rPr>
        <w:t>2</w:t>
      </w:r>
      <w:r>
        <w:rPr>
          <w:rFonts w:hint="eastAsia" w:ascii="方正小标宋简体" w:hAnsi="方正小标宋简体" w:eastAsia="方正小标宋简体" w:cs="方正小标宋简体"/>
          <w:b/>
          <w:bCs/>
          <w:color w:val="auto"/>
          <w:sz w:val="44"/>
          <w:szCs w:val="44"/>
          <w:highlight w:val="none"/>
        </w:rPr>
        <w:t>年度部门整体支出绩效自评报告</w:t>
      </w:r>
    </w:p>
    <w:p>
      <w:pPr>
        <w:jc w:val="center"/>
        <w:rPr>
          <w:rFonts w:eastAsia="黑体"/>
          <w:color w:val="auto"/>
          <w:sz w:val="32"/>
          <w:szCs w:val="32"/>
          <w:highlight w:val="none"/>
        </w:rPr>
      </w:pPr>
    </w:p>
    <w:p>
      <w:pPr>
        <w:jc w:val="center"/>
        <w:rPr>
          <w:rFonts w:eastAsia="黑体"/>
          <w:color w:val="auto"/>
          <w:sz w:val="32"/>
          <w:szCs w:val="32"/>
          <w:highlight w:val="none"/>
        </w:rPr>
      </w:pPr>
    </w:p>
    <w:p>
      <w:pPr>
        <w:jc w:val="center"/>
        <w:rPr>
          <w:rFonts w:eastAsia="黑体"/>
          <w:color w:val="auto"/>
          <w:sz w:val="28"/>
          <w:szCs w:val="28"/>
          <w:highlight w:val="none"/>
        </w:rPr>
      </w:pPr>
    </w:p>
    <w:p>
      <w:pPr>
        <w:spacing w:line="600" w:lineRule="exact"/>
        <w:jc w:val="both"/>
        <w:rPr>
          <w:rFonts w:eastAsia="黑体"/>
          <w:color w:val="auto"/>
          <w:sz w:val="28"/>
          <w:szCs w:val="28"/>
          <w:highlight w:val="none"/>
        </w:rPr>
      </w:pPr>
    </w:p>
    <w:p>
      <w:pPr>
        <w:spacing w:line="600" w:lineRule="exact"/>
        <w:ind w:firstLine="1120" w:firstLineChars="400"/>
        <w:rPr>
          <w:rFonts w:eastAsia="黑体"/>
          <w:color w:val="auto"/>
          <w:sz w:val="28"/>
          <w:szCs w:val="28"/>
          <w:highlight w:val="none"/>
        </w:rPr>
      </w:pPr>
    </w:p>
    <w:p>
      <w:pPr>
        <w:spacing w:line="680" w:lineRule="exact"/>
        <w:ind w:firstLine="840" w:firstLineChars="300"/>
        <w:rPr>
          <w:rFonts w:ascii="宋体" w:hAnsi="宋体" w:eastAsia="宋体" w:cs="宋体"/>
          <w:color w:val="auto"/>
          <w:sz w:val="28"/>
          <w:szCs w:val="28"/>
        </w:rPr>
      </w:pPr>
      <w:r>
        <w:rPr>
          <w:rFonts w:hint="eastAsia" w:ascii="宋体" w:hAnsi="宋体" w:eastAsia="宋体" w:cs="宋体"/>
          <w:color w:val="auto"/>
          <w:sz w:val="28"/>
          <w:szCs w:val="28"/>
        </w:rPr>
        <w:t>单位名称（盖章）：</w:t>
      </w:r>
      <w:r>
        <w:rPr>
          <w:rFonts w:hint="eastAsia" w:ascii="宋体" w:hAnsi="宋体" w:eastAsia="宋体" w:cs="宋体"/>
          <w:color w:val="auto"/>
          <w:sz w:val="28"/>
          <w:szCs w:val="28"/>
          <w:u w:val="single"/>
        </w:rPr>
        <w:t xml:space="preserve">湘西土家族苗族自治州工业和信息化局 </w:t>
      </w:r>
    </w:p>
    <w:p>
      <w:pPr>
        <w:spacing w:line="680" w:lineRule="exact"/>
        <w:ind w:firstLine="840" w:firstLineChars="300"/>
        <w:jc w:val="left"/>
        <w:rPr>
          <w:rFonts w:ascii="宋体" w:hAnsi="宋体" w:eastAsia="宋体" w:cs="宋体"/>
          <w:color w:val="auto"/>
          <w:sz w:val="28"/>
          <w:szCs w:val="28"/>
          <w:u w:val="single"/>
        </w:rPr>
      </w:pPr>
      <w:r>
        <w:rPr>
          <w:rFonts w:hint="eastAsia" w:ascii="宋体" w:hAnsi="宋体" w:eastAsia="宋体" w:cs="宋体"/>
          <w:color w:val="auto"/>
          <w:sz w:val="28"/>
          <w:szCs w:val="28"/>
        </w:rPr>
        <w:t>预算编码：</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val="en-US" w:eastAsia="zh-CN"/>
        </w:rPr>
        <w:t xml:space="preserve"> </w:t>
      </w:r>
      <w:r>
        <w:rPr>
          <w:rFonts w:hint="eastAsia" w:ascii="宋体" w:hAnsi="宋体" w:cs="宋体"/>
          <w:color w:val="auto"/>
          <w:sz w:val="28"/>
          <w:szCs w:val="28"/>
          <w:highlight w:val="none"/>
          <w:u w:val="single"/>
          <w:lang w:val="en-US" w:eastAsia="zh-CN"/>
        </w:rPr>
        <w:t>601001</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u w:val="single"/>
        </w:rPr>
        <w:t xml:space="preserve">                           </w:t>
      </w:r>
    </w:p>
    <w:p>
      <w:pPr>
        <w:spacing w:line="680" w:lineRule="exact"/>
        <w:ind w:firstLine="840" w:firstLineChars="300"/>
        <w:jc w:val="left"/>
        <w:rPr>
          <w:rFonts w:ascii="宋体" w:hAnsi="宋体" w:eastAsia="宋体" w:cs="宋体"/>
          <w:color w:val="auto"/>
          <w:sz w:val="28"/>
          <w:szCs w:val="28"/>
        </w:rPr>
      </w:pPr>
      <w:r>
        <w:rPr>
          <w:rFonts w:hint="eastAsia" w:ascii="宋体" w:hAnsi="宋体" w:eastAsia="宋体" w:cs="宋体"/>
          <w:color w:val="auto"/>
          <w:sz w:val="28"/>
          <w:szCs w:val="28"/>
        </w:rPr>
        <w:t>评价方式：</w:t>
      </w:r>
      <w:r>
        <w:rPr>
          <w:rFonts w:hint="eastAsia" w:ascii="宋体" w:hAnsi="宋体" w:eastAsia="宋体" w:cs="宋体"/>
          <w:color w:val="auto"/>
          <w:sz w:val="28"/>
          <w:szCs w:val="28"/>
          <w:u w:val="single"/>
        </w:rPr>
        <w:t xml:space="preserve">       单位绩效自评                        </w:t>
      </w:r>
    </w:p>
    <w:p>
      <w:pPr>
        <w:spacing w:line="680" w:lineRule="exact"/>
        <w:ind w:firstLine="840" w:firstLineChars="300"/>
        <w:jc w:val="left"/>
        <w:rPr>
          <w:rFonts w:ascii="宋体" w:hAnsi="宋体" w:eastAsia="宋体" w:cs="宋体"/>
          <w:color w:val="auto"/>
          <w:sz w:val="28"/>
          <w:szCs w:val="28"/>
        </w:rPr>
      </w:pPr>
      <w:r>
        <w:rPr>
          <w:rFonts w:hint="eastAsia" w:ascii="宋体" w:hAnsi="宋体" w:eastAsia="宋体" w:cs="宋体"/>
          <w:color w:val="auto"/>
          <w:sz w:val="28"/>
          <w:szCs w:val="28"/>
        </w:rPr>
        <w:t>评价机构：</w:t>
      </w:r>
      <w:r>
        <w:rPr>
          <w:rFonts w:hint="eastAsia" w:ascii="宋体" w:hAnsi="宋体" w:eastAsia="宋体" w:cs="宋体"/>
          <w:color w:val="auto"/>
          <w:sz w:val="28"/>
          <w:szCs w:val="28"/>
          <w:u w:val="single"/>
        </w:rPr>
        <w:t xml:space="preserve">       单位绩效自评工作小组                </w:t>
      </w:r>
    </w:p>
    <w:p>
      <w:pPr>
        <w:rPr>
          <w:rFonts w:hint="eastAsia" w:eastAsia="仿宋_GB2312" w:cs="Arial"/>
          <w:color w:val="auto"/>
          <w:sz w:val="28"/>
          <w:szCs w:val="28"/>
          <w:highlight w:val="none"/>
        </w:rPr>
      </w:pPr>
    </w:p>
    <w:p>
      <w:pPr>
        <w:rPr>
          <w:rFonts w:hint="eastAsia" w:eastAsia="仿宋_GB2312" w:cs="Arial"/>
          <w:color w:val="auto"/>
          <w:sz w:val="28"/>
          <w:szCs w:val="28"/>
          <w:highlight w:val="none"/>
        </w:rPr>
      </w:pPr>
    </w:p>
    <w:p>
      <w:pPr>
        <w:pStyle w:val="2"/>
        <w:rPr>
          <w:rFonts w:hint="eastAsia" w:eastAsia="仿宋_GB2312" w:cs="Arial"/>
          <w:color w:val="auto"/>
          <w:sz w:val="28"/>
          <w:szCs w:val="28"/>
          <w:highlight w:val="none"/>
        </w:rPr>
      </w:pPr>
    </w:p>
    <w:p>
      <w:pPr>
        <w:rPr>
          <w:rFonts w:hint="eastAsia"/>
          <w:color w:val="auto"/>
        </w:rPr>
      </w:pPr>
    </w:p>
    <w:p>
      <w:pPr>
        <w:spacing w:line="600" w:lineRule="exact"/>
        <w:ind w:firstLine="2380" w:firstLineChars="850"/>
        <w:rPr>
          <w:rFonts w:hint="eastAsia" w:eastAsia="黑体"/>
          <w:color w:val="auto"/>
          <w:sz w:val="28"/>
          <w:szCs w:val="28"/>
          <w:highlight w:val="none"/>
        </w:rPr>
      </w:pPr>
    </w:p>
    <w:p>
      <w:pPr>
        <w:spacing w:line="600" w:lineRule="exact"/>
        <w:ind w:firstLine="2550" w:firstLineChars="850"/>
        <w:rPr>
          <w:rFonts w:hint="eastAsia" w:eastAsia="黑体"/>
          <w:color w:val="auto"/>
          <w:sz w:val="28"/>
          <w:szCs w:val="28"/>
          <w:highlight w:val="none"/>
        </w:rPr>
      </w:pPr>
      <w:r>
        <w:rPr>
          <w:rFonts w:hint="eastAsia" w:eastAsia="黑体"/>
          <w:color w:val="auto"/>
          <w:sz w:val="30"/>
          <w:szCs w:val="30"/>
          <w:highlight w:val="none"/>
        </w:rPr>
        <w:t>报告时间：202</w:t>
      </w:r>
      <w:r>
        <w:rPr>
          <w:rFonts w:hint="eastAsia" w:eastAsia="黑体"/>
          <w:color w:val="auto"/>
          <w:sz w:val="30"/>
          <w:szCs w:val="30"/>
          <w:highlight w:val="none"/>
          <w:lang w:val="en-US" w:eastAsia="zh-CN"/>
        </w:rPr>
        <w:t>3</w:t>
      </w:r>
      <w:r>
        <w:rPr>
          <w:rFonts w:hint="eastAsia" w:eastAsia="黑体"/>
          <w:color w:val="auto"/>
          <w:sz w:val="30"/>
          <w:szCs w:val="30"/>
          <w:highlight w:val="none"/>
        </w:rPr>
        <w:t xml:space="preserve"> 年</w:t>
      </w:r>
      <w:r>
        <w:rPr>
          <w:rFonts w:hint="eastAsia" w:eastAsia="黑体"/>
          <w:color w:val="auto"/>
          <w:sz w:val="30"/>
          <w:szCs w:val="30"/>
          <w:highlight w:val="none"/>
          <w:lang w:val="en-US" w:eastAsia="zh-CN"/>
        </w:rPr>
        <w:t>6</w:t>
      </w:r>
      <w:r>
        <w:rPr>
          <w:rFonts w:hint="eastAsia" w:eastAsia="黑体"/>
          <w:color w:val="auto"/>
          <w:sz w:val="30"/>
          <w:szCs w:val="30"/>
          <w:highlight w:val="none"/>
        </w:rPr>
        <w:t>月</w:t>
      </w:r>
    </w:p>
    <w:p>
      <w:pPr>
        <w:spacing w:line="600" w:lineRule="exact"/>
        <w:ind w:left="0" w:leftChars="0" w:firstLine="2100" w:firstLineChars="750"/>
        <w:jc w:val="both"/>
        <w:rPr>
          <w:rFonts w:hint="eastAsia" w:eastAsia="黑体"/>
          <w:color w:val="auto"/>
          <w:sz w:val="28"/>
          <w:szCs w:val="28"/>
          <w:highlight w:val="none"/>
        </w:rPr>
      </w:pPr>
    </w:p>
    <w:p>
      <w:pPr>
        <w:spacing w:line="600" w:lineRule="exact"/>
        <w:ind w:left="0" w:leftChars="0" w:firstLine="2100" w:firstLineChars="750"/>
        <w:jc w:val="both"/>
        <w:rPr>
          <w:rFonts w:hint="eastAsia" w:eastAsia="黑体"/>
          <w:color w:val="auto"/>
          <w:sz w:val="28"/>
          <w:szCs w:val="28"/>
          <w:highlight w:val="none"/>
        </w:rPr>
      </w:pPr>
    </w:p>
    <w:p>
      <w:pPr>
        <w:spacing w:line="600" w:lineRule="exact"/>
        <w:ind w:left="0" w:leftChars="0" w:firstLine="2100" w:firstLineChars="750"/>
        <w:jc w:val="both"/>
        <w:rPr>
          <w:rFonts w:hint="eastAsia" w:eastAsia="黑体"/>
          <w:color w:val="auto"/>
          <w:sz w:val="28"/>
          <w:szCs w:val="28"/>
          <w:highlight w:val="none"/>
        </w:rPr>
        <w:sectPr>
          <w:footerReference r:id="rId3" w:type="default"/>
          <w:pgSz w:w="11906" w:h="16838"/>
          <w:pgMar w:top="1440" w:right="1066" w:bottom="1440" w:left="1600" w:header="851" w:footer="992" w:gutter="0"/>
          <w:pgNumType w:start="1"/>
          <w:cols w:space="425" w:num="1"/>
          <w:docGrid w:type="lines" w:linePitch="312" w:charSpace="0"/>
        </w:sectPr>
      </w:pPr>
    </w:p>
    <w:tbl>
      <w:tblPr>
        <w:tblStyle w:val="9"/>
        <w:tblpPr w:leftFromText="180" w:rightFromText="180" w:vertAnchor="text" w:horzAnchor="page" w:tblpX="1493" w:tblpY="243"/>
        <w:tblOverlap w:val="never"/>
        <w:tblW w:w="92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
      <w:tblGrid>
        <w:gridCol w:w="1195"/>
        <w:gridCol w:w="176"/>
        <w:gridCol w:w="240"/>
        <w:gridCol w:w="582"/>
        <w:gridCol w:w="697"/>
        <w:gridCol w:w="356"/>
        <w:gridCol w:w="582"/>
        <w:gridCol w:w="275"/>
        <w:gridCol w:w="921"/>
        <w:gridCol w:w="1140"/>
        <w:gridCol w:w="254"/>
        <w:gridCol w:w="545"/>
        <w:gridCol w:w="181"/>
        <w:gridCol w:w="96"/>
        <w:gridCol w:w="1019"/>
        <w:gridCol w:w="10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21" w:hRule="atLeast"/>
          <w:jc w:val="center"/>
        </w:trPr>
        <w:tc>
          <w:tcPr>
            <w:tcW w:w="9280" w:type="dxa"/>
            <w:gridSpan w:val="16"/>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一、部门（单位）基本概况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21" w:hRule="atLeast"/>
          <w:jc w:val="center"/>
        </w:trPr>
        <w:tc>
          <w:tcPr>
            <w:tcW w:w="1371"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联系人</w:t>
            </w:r>
          </w:p>
        </w:tc>
        <w:tc>
          <w:tcPr>
            <w:tcW w:w="3653" w:type="dxa"/>
            <w:gridSpan w:val="7"/>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杨琛</w:t>
            </w:r>
          </w:p>
        </w:tc>
        <w:tc>
          <w:tcPr>
            <w:tcW w:w="2120" w:type="dxa"/>
            <w:gridSpan w:val="4"/>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联系电话</w:t>
            </w:r>
          </w:p>
        </w:tc>
        <w:tc>
          <w:tcPr>
            <w:tcW w:w="2136" w:type="dxa"/>
            <w:gridSpan w:val="3"/>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default" w:asciiTheme="minorEastAsia" w:hAnsiTheme="minorEastAsia" w:eastAsiaTheme="minorEastAsia" w:cstheme="minorEastAsia"/>
                <w:color w:val="auto"/>
                <w:sz w:val="21"/>
                <w:szCs w:val="21"/>
                <w:highlight w:val="none"/>
                <w:lang w:val="en-US" w:eastAsia="zh-CN"/>
              </w:rPr>
              <w:t>0743</w:t>
            </w:r>
            <w:r>
              <w:rPr>
                <w:rFonts w:hint="eastAsia" w:asciiTheme="minorEastAsia" w:hAnsiTheme="minorEastAsia" w:eastAsiaTheme="minorEastAsia" w:cstheme="minorEastAsia"/>
                <w:color w:val="auto"/>
                <w:sz w:val="21"/>
                <w:szCs w:val="21"/>
                <w:highlight w:val="none"/>
                <w:lang w:val="en-US" w:eastAsia="zh-CN"/>
              </w:rPr>
              <w:t>-8223316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21" w:hRule="atLeast"/>
          <w:jc w:val="center"/>
        </w:trPr>
        <w:tc>
          <w:tcPr>
            <w:tcW w:w="1371"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人员编制</w:t>
            </w:r>
          </w:p>
        </w:tc>
        <w:tc>
          <w:tcPr>
            <w:tcW w:w="3653" w:type="dxa"/>
            <w:gridSpan w:val="7"/>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91</w:t>
            </w:r>
          </w:p>
        </w:tc>
        <w:tc>
          <w:tcPr>
            <w:tcW w:w="2120" w:type="dxa"/>
            <w:gridSpan w:val="4"/>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实有人数</w:t>
            </w:r>
          </w:p>
        </w:tc>
        <w:tc>
          <w:tcPr>
            <w:tcW w:w="2136" w:type="dxa"/>
            <w:gridSpan w:val="3"/>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79" w:hRule="atLeast"/>
          <w:jc w:val="center"/>
        </w:trPr>
        <w:tc>
          <w:tcPr>
            <w:tcW w:w="1371"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职能职责</w:t>
            </w:r>
          </w:p>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概述</w:t>
            </w:r>
          </w:p>
        </w:tc>
        <w:tc>
          <w:tcPr>
            <w:tcW w:w="7909" w:type="dxa"/>
            <w:gridSpan w:val="14"/>
            <w:vAlign w:val="center"/>
          </w:tcPr>
          <w:p>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湘西自治州工业和信息化局是湘西土家族苗族自治州人民政府的工业经济主管部门，统一社会信用代码为11433100006686154J。</w:t>
            </w:r>
          </w:p>
          <w:p>
            <w:pPr>
              <w:keepNext w:val="0"/>
              <w:keepLines w:val="0"/>
              <w:pageBreakBefore w:val="0"/>
              <w:kinsoku/>
              <w:wordWrap/>
              <w:overflowPunct/>
              <w:topLinePunct w:val="0"/>
              <w:autoSpaceDE/>
              <w:autoSpaceDN w:val="0"/>
              <w:bidi w:val="0"/>
              <w:adjustRightInd/>
              <w:spacing w:line="480" w:lineRule="exact"/>
              <w:ind w:firstLine="422" w:firstLineChars="200"/>
              <w:jc w:val="left"/>
              <w:textAlignment w:val="center"/>
              <w:rPr>
                <w:rFonts w:hint="eastAsia" w:ascii="宋体" w:hAnsi="宋体" w:eastAsia="宋体" w:cs="宋体"/>
                <w:b/>
                <w:bCs/>
                <w:color w:val="auto"/>
                <w:sz w:val="21"/>
                <w:szCs w:val="21"/>
                <w:lang w:val="en-US" w:eastAsia="zh-CN"/>
              </w:rPr>
            </w:pPr>
            <w:r>
              <w:rPr>
                <w:rFonts w:hint="eastAsia" w:ascii="宋体" w:hAnsi="宋体" w:cs="宋体"/>
                <w:b/>
                <w:bCs/>
                <w:color w:val="auto"/>
                <w:sz w:val="21"/>
                <w:szCs w:val="21"/>
                <w:lang w:val="en-US" w:eastAsia="zh-CN"/>
              </w:rPr>
              <w:t>（一）</w:t>
            </w:r>
            <w:r>
              <w:rPr>
                <w:rFonts w:hint="eastAsia" w:ascii="宋体" w:hAnsi="宋体" w:eastAsia="宋体" w:cs="宋体"/>
                <w:b/>
                <w:bCs/>
                <w:color w:val="auto"/>
                <w:sz w:val="21"/>
                <w:szCs w:val="21"/>
                <w:lang w:val="en-US" w:eastAsia="zh-CN"/>
              </w:rPr>
              <w:t>本单位的</w:t>
            </w:r>
            <w:r>
              <w:rPr>
                <w:rFonts w:hint="eastAsia" w:ascii="宋体" w:hAnsi="宋体" w:cs="宋体"/>
                <w:b/>
                <w:bCs/>
                <w:color w:val="auto"/>
                <w:sz w:val="21"/>
                <w:szCs w:val="21"/>
                <w:lang w:val="en-US" w:eastAsia="zh-CN"/>
              </w:rPr>
              <w:t>目前</w:t>
            </w:r>
            <w:r>
              <w:rPr>
                <w:rFonts w:hint="eastAsia" w:ascii="宋体" w:hAnsi="宋体" w:eastAsia="宋体" w:cs="宋体"/>
                <w:b/>
                <w:bCs/>
                <w:color w:val="auto"/>
                <w:sz w:val="21"/>
                <w:szCs w:val="21"/>
                <w:lang w:val="en-US" w:eastAsia="zh-CN"/>
              </w:rPr>
              <w:t>主要职责</w:t>
            </w:r>
          </w:p>
          <w:p>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贯彻落实国家、省和州有关经济和信息化的方针、政策和法律、法规；起草工业和信息化领域的地方性法规、规章草案和政策，并对相关法律法规的执行情况进行监督检查。</w:t>
            </w:r>
          </w:p>
          <w:p>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拟定并组织实施工业、信息化的发展专项规划，贯彻落实国家产业政策。研究提出推进产业结构调整、工业与相关产业融合发展及管理创新的政策建议；指导工业和信息化领域加强安全生产、质量管理和应急工作，协调减轻企业负担工作；协同有关部门做好全州维护企业稳定工作。</w:t>
            </w:r>
          </w:p>
          <w:p>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负责全州工业和信息化领域的日常经济运行调节，编制并组织实施近期工业和信息化领域的经济运行调控目标、政策和措施；监测分析近期工业信息化领域的经济运行态势，统计并发布相关信息，统筹协调解决经济运行中的突出矛盾和问题，并提出政策建议。</w:t>
            </w:r>
          </w:p>
          <w:p>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拟定全州新型工业化的发展战略，协调解决有关重大问题；推进信息化和工业化融合，推进高新技术与传统工业改造结合；推进全州国民经济和社会信号化。</w:t>
            </w:r>
          </w:p>
          <w:p>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负责工业和信息化领域的国防动员有关工作；指导工业和信息化领域技术进步、技术创新；推进工业行业体制改革和管理创新，推进产学研结合和科研成果产业化；编制和组织实施技术改造规划，提出工业和信息化固定资产投资规模和方向。</w:t>
            </w:r>
          </w:p>
          <w:p>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负责中小企业和非公有制经济发展的宏观指导；制定全州中小企业和非公有制经济中长期发展规划并组织实施；推进中小企业服务体系建设和全民创业；综合协调有关部门拟定促进中小企业和非公有制经济发展的改革措施，协调解决有关重大问题。</w:t>
            </w:r>
          </w:p>
          <w:p>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参与拟定能源节约和资源综合利用规划；拟定和组织实施工业能源节约和资源综合利用政策；承担工业企业的节能考核和监察工作；组织推进清洁生产工作；组织协调相关重大示范工程和相关新产品、新设备、新材料的推广应用。</w:t>
            </w:r>
          </w:p>
          <w:p>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负责煤炭、电力、石油、天然气和原材料等经济运行保障要素的工业经济运行；指导生产企业物流外包，促进企业内部物流社会化。</w:t>
            </w:r>
          </w:p>
          <w:p>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统筹推进经济和社会领域信息化工作；指导协调电子政务发展；推进全州信息化建设；</w:t>
            </w:r>
          </w:p>
          <w:p>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协调全州工用通信网、互联网、广播电视网和其他专用通信网的规划和建设，促进网络资源共享。拟定全州信息安全发展战略、规划，指导、协调信息安全保障体系建设；指导监督有关部门重要信息系统与基础信息网络的安全保障工作；协助处理网络与信息安全的重大事件。</w:t>
            </w:r>
          </w:p>
          <w:p>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负责推动软件业和信息服务业的发展，协调解决重大问题；推动软件公共服务体系建设；依法监督管理信息服务市场。</w:t>
            </w:r>
          </w:p>
          <w:p>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承担全州装备科研生产重大事项；推进重大技术装备国产化；指导引进重大技术装备的消化创新。</w:t>
            </w:r>
          </w:p>
          <w:p>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13</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承担全州民爆物品安全生产许可和销售许可的监督管理。</w:t>
            </w:r>
          </w:p>
          <w:p>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负责全州产业园区建设协调服务工作，拟定并组织实施园区发展规划和政策措施，指导园区产业合理布局，负责推进重点产业园区建设发展，推进园区公共设施建设，组织实施产业园区公共服务平台建设。</w:t>
            </w:r>
          </w:p>
          <w:p>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负责工业和信息化招商项目的规划、开发、包装、发布、联络、洽谈工作，承担州本级工业和信息化招商引资工作；指导园区承接产业转移、开展产业工作。</w:t>
            </w:r>
          </w:p>
          <w:p>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16</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指导全州工业和信息化领域人才开发与培训工作。</w:t>
            </w:r>
          </w:p>
          <w:p>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17</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指导国有煤炭企业改革工作，促进煤炭行业产业结构调整，做好国有煤炭企业职工安置和维护职工队伍稳定工作。</w:t>
            </w:r>
          </w:p>
          <w:p>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承担省国防科技工业局交办的任务，承办州人民政府办的其他事项。</w:t>
            </w:r>
          </w:p>
          <w:p>
            <w:pPr>
              <w:keepNext w:val="0"/>
              <w:keepLines w:val="0"/>
              <w:pageBreakBefore w:val="0"/>
              <w:kinsoku/>
              <w:wordWrap/>
              <w:overflowPunct/>
              <w:topLinePunct w:val="0"/>
              <w:autoSpaceDE/>
              <w:autoSpaceDN w:val="0"/>
              <w:bidi w:val="0"/>
              <w:adjustRightInd/>
              <w:spacing w:line="480" w:lineRule="exact"/>
              <w:ind w:firstLine="422" w:firstLineChars="200"/>
              <w:jc w:val="left"/>
              <w:textAlignment w:val="center"/>
              <w:rPr>
                <w:rFonts w:hint="eastAsia" w:ascii="宋体" w:hAnsi="宋体" w:eastAsia="宋体" w:cs="宋体"/>
                <w:b/>
                <w:bCs/>
                <w:color w:val="auto"/>
                <w:sz w:val="21"/>
                <w:szCs w:val="21"/>
                <w:lang w:val="en-US" w:eastAsia="zh-CN"/>
              </w:rPr>
            </w:pPr>
            <w:r>
              <w:rPr>
                <w:rFonts w:hint="eastAsia" w:ascii="宋体" w:hAnsi="宋体" w:cs="宋体"/>
                <w:b/>
                <w:bCs/>
                <w:color w:val="auto"/>
                <w:sz w:val="21"/>
                <w:szCs w:val="21"/>
                <w:lang w:val="en-US" w:eastAsia="zh-CN"/>
              </w:rPr>
              <w:t>（二）2022年</w:t>
            </w:r>
            <w:r>
              <w:rPr>
                <w:rFonts w:hint="eastAsia" w:ascii="宋体" w:hAnsi="宋体" w:eastAsia="宋体" w:cs="宋体"/>
                <w:b/>
                <w:bCs/>
                <w:color w:val="auto"/>
                <w:sz w:val="21"/>
                <w:szCs w:val="21"/>
                <w:lang w:val="en-US" w:eastAsia="zh-CN"/>
              </w:rPr>
              <w:t>职责调整</w:t>
            </w:r>
          </w:p>
          <w:p>
            <w:pPr>
              <w:keepNext w:val="0"/>
              <w:keepLines w:val="0"/>
              <w:pageBreakBefore w:val="0"/>
              <w:numPr>
                <w:ilvl w:val="0"/>
                <w:numId w:val="1"/>
              </w:numPr>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承担全州军民融合发展综合协调和督导落实、国防科技工业相关职责。</w:t>
            </w:r>
          </w:p>
          <w:p>
            <w:pPr>
              <w:keepNext w:val="0"/>
              <w:keepLines w:val="0"/>
              <w:pageBreakBefore w:val="0"/>
              <w:numPr>
                <w:ilvl w:val="0"/>
                <w:numId w:val="1"/>
              </w:numPr>
              <w:kinsoku/>
              <w:wordWrap/>
              <w:overflowPunct/>
              <w:topLinePunct w:val="0"/>
              <w:autoSpaceDE/>
              <w:autoSpaceDN w:val="0"/>
              <w:bidi w:val="0"/>
              <w:adjustRightInd/>
              <w:spacing w:line="480" w:lineRule="exact"/>
              <w:ind w:left="0" w:leftChars="0"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贯彻落实国家、省、州有关酒类产业发展的政策法规和决策部署，促进全州酒类产业发展。组织拟订全州酒类产业发展政策和规划、计划并组织实施。指导全州酒类产业布局，负责全州酒类产业行业管理；牵头全州酒类产业发展综合协调服务和重大问题研究。统筹协调全州酒类产业项目建设，负责全州酒类专项资金申报管理。</w:t>
            </w:r>
          </w:p>
          <w:p>
            <w:pPr>
              <w:keepNext w:val="0"/>
              <w:keepLines w:val="0"/>
              <w:pageBreakBefore w:val="0"/>
              <w:numPr>
                <w:ilvl w:val="0"/>
                <w:numId w:val="1"/>
              </w:numPr>
              <w:kinsoku/>
              <w:wordWrap/>
              <w:overflowPunct/>
              <w:topLinePunct w:val="0"/>
              <w:autoSpaceDE/>
              <w:autoSpaceDN w:val="0"/>
              <w:bidi w:val="0"/>
              <w:adjustRightInd/>
              <w:spacing w:line="480" w:lineRule="exact"/>
              <w:ind w:left="0" w:leftChars="0" w:firstLine="420" w:firstLineChars="200"/>
              <w:jc w:val="left"/>
              <w:textAlignment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color w:val="auto"/>
                <w:sz w:val="21"/>
                <w:szCs w:val="21"/>
                <w:lang w:val="en-US" w:eastAsia="zh-CN"/>
              </w:rPr>
              <w:t>将能源运行相关职责划入州发展和改革委员会。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3129" w:hRule="atLeast"/>
          <w:jc w:val="center"/>
        </w:trPr>
        <w:tc>
          <w:tcPr>
            <w:tcW w:w="1371"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年度主要</w:t>
            </w:r>
          </w:p>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工作内容</w:t>
            </w:r>
          </w:p>
        </w:tc>
        <w:tc>
          <w:tcPr>
            <w:tcW w:w="7909" w:type="dxa"/>
            <w:gridSpan w:val="14"/>
            <w:vAlign w:val="center"/>
          </w:tcPr>
          <w:p>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任务1：大力实施制造强州战略，突出稳增长、保主体、强链群、优服务，全州工业经济实现平稳增长。</w:t>
            </w:r>
          </w:p>
          <w:p>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任务2：突出项目引领，加大工业重大项目建设力度，注入发展新动能。</w:t>
            </w:r>
          </w:p>
          <w:p>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任务3：以“链长制”为总揽，大力推进10条优势产业链建设，有力支撑我州经济大盘稳定和经济高质量发展。</w:t>
            </w:r>
          </w:p>
          <w:p>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任务4：配强工业招商专班力量，积极对接粤港澳大湾区产业转移等战略，采取“手拉手”、“屏对屏”等灵活多样的招商方式，聚焦10条优势产业链建设，开展精准招商。</w:t>
            </w:r>
          </w:p>
          <w:p>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任务5：有序推进新增规模以上工业企业行动，不断激发企业活力。</w:t>
            </w:r>
          </w:p>
          <w:p>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任务6：加快全州通信基础设施建设，网络基础逐步夯实。</w:t>
            </w:r>
          </w:p>
          <w:p>
            <w:pPr>
              <w:keepNext w:val="0"/>
              <w:keepLines w:val="0"/>
              <w:pageBreakBefore w:val="0"/>
              <w:kinsoku/>
              <w:wordWrap/>
              <w:overflowPunct/>
              <w:topLinePunct w:val="0"/>
              <w:autoSpaceDE/>
              <w:autoSpaceDN w:val="0"/>
              <w:bidi w:val="0"/>
              <w:adjustRightInd/>
              <w:spacing w:line="480" w:lineRule="exact"/>
              <w:ind w:firstLine="420" w:firstLineChars="200"/>
              <w:jc w:val="left"/>
              <w:textAlignment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color w:val="auto"/>
                <w:sz w:val="21"/>
                <w:szCs w:val="21"/>
                <w:lang w:val="en-US" w:eastAsia="zh-CN"/>
              </w:rPr>
              <w:t>任务7：“纾困增效”行动持续深化，扎实推进干部联企“送政策、解难题、优服务”行动；清理拖欠民营企业中小企业账款；加快推动制造业数字化转型。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90" w:hRule="atLeast"/>
          <w:jc w:val="center"/>
        </w:trPr>
        <w:tc>
          <w:tcPr>
            <w:tcW w:w="1371"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年度部门（单位）总体运行情况及取得的成绩</w:t>
            </w:r>
          </w:p>
        </w:tc>
        <w:tc>
          <w:tcPr>
            <w:tcW w:w="7909" w:type="dxa"/>
            <w:gridSpan w:val="14"/>
            <w:vAlign w:val="center"/>
          </w:tcPr>
          <w:p>
            <w:pPr>
              <w:keepNext w:val="0"/>
              <w:keepLines w:val="0"/>
              <w:pageBreakBefore w:val="0"/>
              <w:kinsoku/>
              <w:wordWrap/>
              <w:overflowPunct/>
              <w:topLinePunct w:val="0"/>
              <w:autoSpaceDE/>
              <w:bidi w:val="0"/>
              <w:adjustRightInd/>
              <w:spacing w:line="480" w:lineRule="exact"/>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2022年，在州委、州政府的坚强领导下，在省工信厅的精心指导下，全州工业和信息化工作积极应对错综复杂的外部环境、多点散发的疫情冲击和持续下行的经济增长压力、矿业整治整合等超预期因素叠加影响，深入贯彻落实“三高四新”战略定位和使命任务，聚焦打造“三区两地”、建设“五个湘西”，大力实施制造强州战略，突出稳增长、保主体、强链群、优服务，全州工业经济实现平稳增长，信息化建设逐步完善，高质量发展迈出坚实步伐。</w:t>
            </w:r>
          </w:p>
          <w:p>
            <w:pPr>
              <w:keepNext w:val="0"/>
              <w:keepLines w:val="0"/>
              <w:pageBreakBefore w:val="0"/>
              <w:kinsoku/>
              <w:wordWrap/>
              <w:overflowPunct/>
              <w:topLinePunct w:val="0"/>
              <w:autoSpaceDE/>
              <w:bidi w:val="0"/>
              <w:adjustRightInd/>
              <w:spacing w:line="480" w:lineRule="exact"/>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工业经济平稳增长。2022年全州工业经济呈现高开低走、承压前行的运行态势。规模工业增加值同比增长0.1%，其中制造业增加值占GDP的比重17%，同比提高0.2个百分点。主要关联指标中，工业投资、工业税收、工业贷款分别增长10.1%、10.8%、7.6%，运行基本稳定。</w:t>
            </w:r>
          </w:p>
          <w:p>
            <w:pPr>
              <w:keepNext w:val="0"/>
              <w:keepLines w:val="0"/>
              <w:pageBreakBefore w:val="0"/>
              <w:kinsoku/>
              <w:wordWrap/>
              <w:overflowPunct/>
              <w:topLinePunct w:val="0"/>
              <w:autoSpaceDE/>
              <w:bidi w:val="0"/>
              <w:adjustRightInd/>
              <w:spacing w:line="480" w:lineRule="exact"/>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二）重大项目加快实施。酒鬼酒生产三区、盈田新材料新能源产业园、洪量新材料等一批10亿级重大项目建设进展顺利，全州动态调度的100个工业项目中年内建成投产33个，项目全部达产后预计新增产值35亿元以上，新增利税2亿元以上。其中，2022年实施的2个省“100个重大产品创新强基”项目（浩然公司锂电池、奥科公司增材制造项目）已建成投产。着力推动科技创新成果就地转化，行业内首次采用粉末冶金工艺开发出的120km/h轨道交通车辆铝基复合材料制动盘、半导体加工用光敏剂等一批科研成果转化项目落户湘西、开工建设。</w:t>
            </w:r>
          </w:p>
          <w:p>
            <w:pPr>
              <w:keepNext w:val="0"/>
              <w:keepLines w:val="0"/>
              <w:pageBreakBefore w:val="0"/>
              <w:kinsoku/>
              <w:wordWrap/>
              <w:overflowPunct/>
              <w:topLinePunct w:val="0"/>
              <w:autoSpaceDE/>
              <w:bidi w:val="0"/>
              <w:adjustRightInd/>
              <w:spacing w:line="480" w:lineRule="exact"/>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三）优势产业支撑有力。全州10条优势产业链“四上企业”实现产值增速4.5%、应纳税收同比增长23.2%。其中，酒业产业链翻番增长，产值接近60亿元，生物医药、绿色食品等传统优势产业实现两位数增长，绿色矿业及新材料面对矿业整合及环保约束等影响，抢抓市场机遇，实现产值过百亿元，FPC集群、储能电站等项目有力支撑了电子信息、新能源等产业链的产值回升。产业链龙头企业带动有力、串珠成链，酒鬼酒公司完成工业生产总值50.85亿元，同比增长37.5%，上缴税收14.15亿元，同比增长21.4%，强劲牵引了上下游产业链供应链的集群、配套。</w:t>
            </w:r>
          </w:p>
          <w:p>
            <w:pPr>
              <w:keepNext w:val="0"/>
              <w:keepLines w:val="0"/>
              <w:pageBreakBefore w:val="0"/>
              <w:kinsoku/>
              <w:wordWrap/>
              <w:overflowPunct/>
              <w:topLinePunct w:val="0"/>
              <w:autoSpaceDE/>
              <w:bidi w:val="0"/>
              <w:adjustRightInd/>
              <w:spacing w:line="480" w:lineRule="exact"/>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四）工业招商成效明显。配强工业招商专班力量，积极对接粤港澳大湾区产业转移等战略，先后奔赴广州、深圳、上海、浙江等地市，采取“手拉手”、“屏对屏”等灵活多样的招商方式，聚焦10条优势产业链建设，开展精准招商。2022年全州新招引落地3000万元以上的工业项目40个，合同或协议投资额达102.55亿元。其中，古丈友立先进储能材料产业基地（总投资14亿元）、吉首FPC产业集群项目（总投资23亿元）、湘西高新区深圳华美兴泰户外储能（总投资5亿元）等一批重大项目落地建设，智和信天然活性产品生产、同年控股干细胞产业化、祥程科技新型环保节能铝型材等一批项目（一期）已建成投产。</w:t>
            </w:r>
          </w:p>
          <w:p>
            <w:pPr>
              <w:keepNext w:val="0"/>
              <w:keepLines w:val="0"/>
              <w:pageBreakBefore w:val="0"/>
              <w:kinsoku/>
              <w:wordWrap/>
              <w:overflowPunct/>
              <w:topLinePunct w:val="0"/>
              <w:autoSpaceDE/>
              <w:bidi w:val="0"/>
              <w:adjustRightInd/>
              <w:spacing w:line="480" w:lineRule="exact"/>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五）企业活力不断激发。新增规模以上工业企业行动有序推进，全州新增规模工业企业35户，规模工业企业总数达到348户，创历史新高。中小企业专精特新发展取得新的突破，培育新增省级以上专精特新“小巨人”企业14家、省制造业单项冠军企业1家，其中，金昊科技成功申报国家级“小巨人”企业，丰达合金氮化锰获批省制造业单项冠军产品，均实现了零的突破。工业企业品牌试点示范、标杆创建成效突出，酒鬼酒公司入选“2022湖南制造业企业100强”，众鑫科技等2家企业成为“湖湘精品”中小企业品牌能力提升试点企业，沃康油业等3家企业成为省级品牌培育试点企业，宏成制药被认定为省消费品工业“三品”标杆企业，鹤盛原烟被认定为省级制造业质量标杆企业。企业创新发展平台支撑不断增强。锐阳电子、吉程农机、金昊科技3家企业成功申报省级企业技术中心，全州省级以上制造业领域研发创新平台达到31个。同时，成功举办了“创客中国”中小微企业创新创业大赛湘西赛等重大活动，宏成制药晋级全国决赛。目前，泸溪的氮气雾化微细球形铝粉、众鑫公司的钒氮合金、泰和美的移动储能等在细分行业排名前列，企业创新发展活力不断激发。</w:t>
            </w:r>
          </w:p>
          <w:p>
            <w:pPr>
              <w:keepNext w:val="0"/>
              <w:keepLines w:val="0"/>
              <w:pageBreakBefore w:val="0"/>
              <w:kinsoku/>
              <w:wordWrap/>
              <w:overflowPunct/>
              <w:topLinePunct w:val="0"/>
              <w:autoSpaceDE/>
              <w:bidi w:val="0"/>
              <w:adjustRightInd/>
              <w:spacing w:line="480" w:lineRule="exact"/>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六）网络基础逐步夯实。全州通信基础设施建设完成投资5.04亿元，完成年度计划的126.1%；建成5G基站822个，完成占比100%。目前，全州5G基站在网数超过4000个，4G基站在网数接近10000个；4G网络行政村覆盖率达到100%、自然村达到92%；乡镇以上行政区、工业园区及重要景点实现5G连续覆盖。强化无线电管理，全面清理无线电台站数据库，扎实推进无线电台站电子证照应用，深入开展打击“黑广播”、“伪基站”专项行动，着力保障重大活动、重要考试无线电安全。2022年，全州累计换发移动通信基站电子执照20690个，开展无线电监测时长8500余小时,查处不明信号和排除干扰16起。</w:t>
            </w:r>
          </w:p>
          <w:p>
            <w:pPr>
              <w:keepNext w:val="0"/>
              <w:keepLines w:val="0"/>
              <w:pageBreakBefore w:val="0"/>
              <w:kinsoku/>
              <w:wordWrap/>
              <w:overflowPunct/>
              <w:topLinePunct w:val="0"/>
              <w:autoSpaceDE/>
              <w:bidi w:val="0"/>
              <w:adjustRightInd/>
              <w:spacing w:line="480" w:lineRule="exact"/>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七）质量效益显著提升。深入开展“敲门行动”，组建财务、税务、工艺技术、金融等方面的专家团队，上门为亏损企业把脉问诊，助力企业扭亏为盈；累计选派联企干部1867名，走访企业2265家，答复解决企业反映问题2823个，帮助企业化解了一大批“急难愁盼”，促进了惠企政策的落实兑现。2022年末，全州规模工业企业亏损22户，较年初减少50户；亏损面7.8%，较年初下降14.2个百分点。清理拖欠民营企业中小企业账款任务圆满完成。全州累计清偿拖欠企业账款总额3678.58万元，纳入清欠平台的2021年结转欠款和2022年新增欠款全部清零，欠款清偿率达到100%，有效减轻了企业负担。</w:t>
            </w:r>
          </w:p>
          <w:p>
            <w:pPr>
              <w:keepNext w:val="0"/>
              <w:keepLines w:val="0"/>
              <w:pageBreakBefore w:val="0"/>
              <w:kinsoku/>
              <w:wordWrap/>
              <w:overflowPunct/>
              <w:topLinePunct w:val="0"/>
              <w:autoSpaceDE/>
              <w:bidi w:val="0"/>
              <w:adjustRightInd/>
              <w:spacing w:line="480" w:lineRule="exact"/>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八）制造业数字化发展取得新成效。长潭泵业成功创建省级工业互联网平台，实现了零的突破，为我州加快推动制造业数字化转型树立了标杆，发挥了示范作用。酒鬼酒、奥科2家企业成功申报省制造业“三化”项目，锐阳电子等5家企业获得省移动互联网专项资金支持，长潭泵业等3家企业纳入工业互联网网络安全分类分级管理试点企业。</w:t>
            </w:r>
          </w:p>
          <w:p>
            <w:pPr>
              <w:keepNext w:val="0"/>
              <w:keepLines w:val="0"/>
              <w:pageBreakBefore w:val="0"/>
              <w:kinsoku/>
              <w:wordWrap/>
              <w:overflowPunct/>
              <w:topLinePunct w:val="0"/>
              <w:autoSpaceDE/>
              <w:bidi w:val="0"/>
              <w:adjustRightInd/>
              <w:spacing w:line="48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color w:val="auto"/>
                <w:sz w:val="21"/>
                <w:szCs w:val="21"/>
                <w:lang w:val="en-US" w:eastAsia="zh-CN"/>
              </w:rPr>
              <w:t>（九）工业绿色低碳转型实现新突破。指导矿业整治整合取得决定性成效，“废弃厂房”整治任务全面完成。大力推进绿色制造试点示范工程，培育新增州级“绿色工厂”10家、省级绿色工厂2家、省级绿色园区1个。积极推进工业企业清洁生产、节能降耗，全州每万元规模工业增加值能耗0.48吨标准煤，同比下降17.78%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14" w:hRule="atLeast"/>
          <w:jc w:val="center"/>
        </w:trPr>
        <w:tc>
          <w:tcPr>
            <w:tcW w:w="9280" w:type="dxa"/>
            <w:gridSpan w:val="16"/>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二、部门（单位）收支情况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14" w:hRule="atLeast"/>
          <w:jc w:val="center"/>
        </w:trPr>
        <w:tc>
          <w:tcPr>
            <w:tcW w:w="9280" w:type="dxa"/>
            <w:gridSpan w:val="16"/>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年度收入情况（万元）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14" w:hRule="atLeast"/>
          <w:jc w:val="center"/>
        </w:trPr>
        <w:tc>
          <w:tcPr>
            <w:tcW w:w="1611" w:type="dxa"/>
            <w:gridSpan w:val="3"/>
            <w:vMerge w:val="restart"/>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机构名称</w:t>
            </w:r>
          </w:p>
        </w:tc>
        <w:tc>
          <w:tcPr>
            <w:tcW w:w="1279" w:type="dxa"/>
            <w:gridSpan w:val="2"/>
            <w:vMerge w:val="restart"/>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收入合计</w:t>
            </w:r>
          </w:p>
        </w:tc>
        <w:tc>
          <w:tcPr>
            <w:tcW w:w="6390" w:type="dxa"/>
            <w:gridSpan w:val="11"/>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其中：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424" w:hRule="atLeast"/>
          <w:jc w:val="center"/>
        </w:trPr>
        <w:tc>
          <w:tcPr>
            <w:tcW w:w="1611" w:type="dxa"/>
            <w:gridSpan w:val="3"/>
            <w:vMerge w:val="continue"/>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tc>
        <w:tc>
          <w:tcPr>
            <w:tcW w:w="1279" w:type="dxa"/>
            <w:gridSpan w:val="2"/>
            <w:vMerge w:val="continue"/>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tc>
        <w:tc>
          <w:tcPr>
            <w:tcW w:w="938" w:type="dxa"/>
            <w:gridSpan w:val="2"/>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上年</w:t>
            </w:r>
          </w:p>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结转</w:t>
            </w:r>
          </w:p>
        </w:tc>
        <w:tc>
          <w:tcPr>
            <w:tcW w:w="1196"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公共财</w:t>
            </w:r>
          </w:p>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政拨款</w:t>
            </w:r>
          </w:p>
        </w:tc>
        <w:tc>
          <w:tcPr>
            <w:tcW w:w="2120" w:type="dxa"/>
            <w:gridSpan w:val="4"/>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国有资本经营</w:t>
            </w:r>
          </w:p>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预算财政拨款</w:t>
            </w:r>
          </w:p>
        </w:tc>
        <w:tc>
          <w:tcPr>
            <w:tcW w:w="1115"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事业收入</w:t>
            </w:r>
          </w:p>
        </w:tc>
        <w:tc>
          <w:tcPr>
            <w:tcW w:w="1021" w:type="dxa"/>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其他</w:t>
            </w:r>
          </w:p>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865" w:hRule="atLeast"/>
          <w:jc w:val="center"/>
        </w:trPr>
        <w:tc>
          <w:tcPr>
            <w:tcW w:w="1611" w:type="dxa"/>
            <w:gridSpan w:val="3"/>
            <w:vAlign w:val="center"/>
          </w:tcPr>
          <w:p>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局机关及二级机构汇总</w:t>
            </w:r>
          </w:p>
        </w:tc>
        <w:tc>
          <w:tcPr>
            <w:tcW w:w="1279" w:type="dxa"/>
            <w:gridSpan w:val="2"/>
            <w:tcBorders>
              <w:right w:val="single" w:color="auto" w:sz="4" w:space="0"/>
            </w:tcBorders>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8982.84</w:t>
            </w:r>
          </w:p>
        </w:tc>
        <w:tc>
          <w:tcPr>
            <w:tcW w:w="938" w:type="dxa"/>
            <w:gridSpan w:val="2"/>
            <w:tcBorders>
              <w:left w:val="single" w:color="auto" w:sz="4" w:space="0"/>
            </w:tcBorders>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1958.52</w:t>
            </w:r>
          </w:p>
        </w:tc>
        <w:tc>
          <w:tcPr>
            <w:tcW w:w="1196" w:type="dxa"/>
            <w:gridSpan w:val="2"/>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7650.85</w:t>
            </w:r>
          </w:p>
        </w:tc>
        <w:tc>
          <w:tcPr>
            <w:tcW w:w="2120" w:type="dxa"/>
            <w:gridSpan w:val="4"/>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8.54</w:t>
            </w:r>
          </w:p>
        </w:tc>
        <w:tc>
          <w:tcPr>
            <w:tcW w:w="1115" w:type="dxa"/>
            <w:gridSpan w:val="2"/>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26.57</w:t>
            </w:r>
          </w:p>
        </w:tc>
        <w:tc>
          <w:tcPr>
            <w:tcW w:w="1021" w:type="dxa"/>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1099.76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571" w:hRule="atLeast"/>
          <w:jc w:val="center"/>
        </w:trPr>
        <w:tc>
          <w:tcPr>
            <w:tcW w:w="1611" w:type="dxa"/>
            <w:gridSpan w:val="3"/>
            <w:vAlign w:val="center"/>
          </w:tcPr>
          <w:p>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1.本级机构</w:t>
            </w:r>
          </w:p>
        </w:tc>
        <w:tc>
          <w:tcPr>
            <w:tcW w:w="1279" w:type="dxa"/>
            <w:gridSpan w:val="2"/>
            <w:tcBorders>
              <w:right w:val="single" w:color="auto" w:sz="4" w:space="0"/>
            </w:tcBorders>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6948.91</w:t>
            </w:r>
          </w:p>
        </w:tc>
        <w:tc>
          <w:tcPr>
            <w:tcW w:w="938" w:type="dxa"/>
            <w:gridSpan w:val="2"/>
            <w:tcBorders>
              <w:left w:val="single" w:color="auto" w:sz="4" w:space="0"/>
            </w:tcBorders>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189.09</w:t>
            </w:r>
          </w:p>
        </w:tc>
        <w:tc>
          <w:tcPr>
            <w:tcW w:w="1196" w:type="dxa"/>
            <w:gridSpan w:val="2"/>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6663.49</w:t>
            </w:r>
          </w:p>
        </w:tc>
        <w:tc>
          <w:tcPr>
            <w:tcW w:w="2120" w:type="dxa"/>
            <w:gridSpan w:val="4"/>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115" w:type="dxa"/>
            <w:gridSpan w:val="2"/>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021" w:type="dxa"/>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96.33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705" w:hRule="atLeast"/>
          <w:jc w:val="center"/>
        </w:trPr>
        <w:tc>
          <w:tcPr>
            <w:tcW w:w="1611" w:type="dxa"/>
            <w:gridSpan w:val="3"/>
            <w:vAlign w:val="center"/>
          </w:tcPr>
          <w:p>
            <w:pPr>
              <w:tabs>
                <w:tab w:val="left" w:pos="0"/>
              </w:tabs>
              <w:autoSpaceDN w:val="0"/>
              <w:spacing w:line="320" w:lineRule="exact"/>
              <w:ind w:left="0" w:leftChars="0" w:right="166" w:rightChars="79" w:firstLine="210" w:firstLineChars="100"/>
              <w:jc w:val="both"/>
              <w:textAlignment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2.州中小微企业服务中心</w:t>
            </w:r>
          </w:p>
        </w:tc>
        <w:tc>
          <w:tcPr>
            <w:tcW w:w="1279" w:type="dxa"/>
            <w:gridSpan w:val="2"/>
            <w:tcBorders>
              <w:right w:val="single" w:color="auto" w:sz="4" w:space="0"/>
            </w:tcBorders>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1413.16</w:t>
            </w:r>
          </w:p>
        </w:tc>
        <w:tc>
          <w:tcPr>
            <w:tcW w:w="938" w:type="dxa"/>
            <w:gridSpan w:val="2"/>
            <w:tcBorders>
              <w:left w:val="single" w:color="auto" w:sz="4" w:space="0"/>
            </w:tcBorders>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3.87</w:t>
            </w:r>
          </w:p>
        </w:tc>
        <w:tc>
          <w:tcPr>
            <w:tcW w:w="1196" w:type="dxa"/>
            <w:gridSpan w:val="2"/>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374.82</w:t>
            </w:r>
          </w:p>
        </w:tc>
        <w:tc>
          <w:tcPr>
            <w:tcW w:w="2120" w:type="dxa"/>
            <w:gridSpan w:val="4"/>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5.00</w:t>
            </w:r>
          </w:p>
        </w:tc>
        <w:tc>
          <w:tcPr>
            <w:tcW w:w="1115" w:type="dxa"/>
            <w:gridSpan w:val="2"/>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26.57</w:t>
            </w:r>
          </w:p>
        </w:tc>
        <w:tc>
          <w:tcPr>
            <w:tcW w:w="1021" w:type="dxa"/>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1001.64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867" w:hRule="atLeast"/>
          <w:jc w:val="center"/>
        </w:trPr>
        <w:tc>
          <w:tcPr>
            <w:tcW w:w="1611" w:type="dxa"/>
            <w:gridSpan w:val="3"/>
            <w:vAlign w:val="center"/>
          </w:tcPr>
          <w:p>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3.州墙体材料改革办公室</w:t>
            </w:r>
          </w:p>
        </w:tc>
        <w:tc>
          <w:tcPr>
            <w:tcW w:w="1279" w:type="dxa"/>
            <w:gridSpan w:val="2"/>
            <w:tcBorders>
              <w:right w:val="single" w:color="auto" w:sz="4" w:space="0"/>
            </w:tcBorders>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173.98</w:t>
            </w:r>
          </w:p>
        </w:tc>
        <w:tc>
          <w:tcPr>
            <w:tcW w:w="938" w:type="dxa"/>
            <w:gridSpan w:val="2"/>
            <w:tcBorders>
              <w:left w:val="single" w:color="auto" w:sz="4" w:space="0"/>
            </w:tcBorders>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0.75</w:t>
            </w:r>
          </w:p>
        </w:tc>
        <w:tc>
          <w:tcPr>
            <w:tcW w:w="1196" w:type="dxa"/>
            <w:gridSpan w:val="2"/>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169.69</w:t>
            </w:r>
          </w:p>
        </w:tc>
        <w:tc>
          <w:tcPr>
            <w:tcW w:w="2120" w:type="dxa"/>
            <w:gridSpan w:val="4"/>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3.54</w:t>
            </w:r>
          </w:p>
        </w:tc>
        <w:tc>
          <w:tcPr>
            <w:tcW w:w="1115" w:type="dxa"/>
            <w:gridSpan w:val="2"/>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021" w:type="dxa"/>
            <w:vAlign w:val="center"/>
          </w:tcPr>
          <w:p>
            <w:pPr>
              <w:keepNext w:val="0"/>
              <w:keepLines w:val="0"/>
              <w:pageBreakBefore w:val="0"/>
              <w:widowControl w:val="0"/>
              <w:kinsoku/>
              <w:wordWrap/>
              <w:overflowPunct/>
              <w:topLinePunct w:val="0"/>
              <w:autoSpaceDE/>
              <w:autoSpaceDN w:val="0"/>
              <w:bidi w:val="0"/>
              <w:adjustRightInd/>
              <w:snapToGrid/>
              <w:spacing w:line="46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494" w:hRule="atLeast"/>
          <w:jc w:val="center"/>
        </w:trPr>
        <w:tc>
          <w:tcPr>
            <w:tcW w:w="1611" w:type="dxa"/>
            <w:gridSpan w:val="3"/>
            <w:vAlign w:val="center"/>
          </w:tcPr>
          <w:p>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4.州散装水泥办</w:t>
            </w:r>
          </w:p>
        </w:tc>
        <w:tc>
          <w:tcPr>
            <w:tcW w:w="1279"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173.43</w:t>
            </w:r>
          </w:p>
        </w:tc>
        <w:tc>
          <w:tcPr>
            <w:tcW w:w="938" w:type="dxa"/>
            <w:gridSpan w:val="2"/>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196"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171.79</w:t>
            </w:r>
          </w:p>
        </w:tc>
        <w:tc>
          <w:tcPr>
            <w:tcW w:w="2120" w:type="dxa"/>
            <w:gridSpan w:val="4"/>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115"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021" w:type="dxa"/>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830" w:hRule="atLeast"/>
          <w:jc w:val="center"/>
        </w:trPr>
        <w:tc>
          <w:tcPr>
            <w:tcW w:w="1611" w:type="dxa"/>
            <w:gridSpan w:val="3"/>
            <w:vAlign w:val="center"/>
          </w:tcPr>
          <w:p>
            <w:pPr>
              <w:tabs>
                <w:tab w:val="left" w:pos="0"/>
              </w:tabs>
              <w:autoSpaceDN w:val="0"/>
              <w:spacing w:line="320" w:lineRule="exact"/>
              <w:ind w:left="0" w:leftChars="0" w:right="166" w:rightChars="79" w:firstLine="210" w:firstLineChars="100"/>
              <w:jc w:val="both"/>
              <w:textAlignment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5.湘西州无线电管理处</w:t>
            </w:r>
          </w:p>
        </w:tc>
        <w:tc>
          <w:tcPr>
            <w:tcW w:w="1279"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273.35</w:t>
            </w:r>
          </w:p>
        </w:tc>
        <w:tc>
          <w:tcPr>
            <w:tcW w:w="938" w:type="dxa"/>
            <w:gridSpan w:val="2"/>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2.14</w:t>
            </w:r>
          </w:p>
        </w:tc>
        <w:tc>
          <w:tcPr>
            <w:tcW w:w="1196"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271.06</w:t>
            </w:r>
          </w:p>
        </w:tc>
        <w:tc>
          <w:tcPr>
            <w:tcW w:w="2120" w:type="dxa"/>
            <w:gridSpan w:val="4"/>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115"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021" w:type="dxa"/>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23" w:hRule="atLeast"/>
          <w:jc w:val="center"/>
        </w:trPr>
        <w:tc>
          <w:tcPr>
            <w:tcW w:w="9280" w:type="dxa"/>
            <w:gridSpan w:val="16"/>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部门（单位）年度支出和结余情况（万元）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14" w:hRule="atLeast"/>
          <w:jc w:val="center"/>
        </w:trPr>
        <w:tc>
          <w:tcPr>
            <w:tcW w:w="1611" w:type="dxa"/>
            <w:gridSpan w:val="3"/>
            <w:vMerge w:val="restart"/>
            <w:vAlign w:val="center"/>
          </w:tcPr>
          <w:p>
            <w:pPr>
              <w:keepNext w:val="0"/>
              <w:keepLines w:val="0"/>
              <w:pageBreakBefore w:val="0"/>
              <w:kinsoku/>
              <w:wordWrap/>
              <w:overflowPunct/>
              <w:topLinePunct w:val="0"/>
              <w:autoSpaceDE/>
              <w:bidi w:val="0"/>
              <w:adjustRightInd/>
              <w:snapToGrid w:val="0"/>
              <w:spacing w:line="48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机构名称</w:t>
            </w:r>
          </w:p>
        </w:tc>
        <w:tc>
          <w:tcPr>
            <w:tcW w:w="1279" w:type="dxa"/>
            <w:gridSpan w:val="2"/>
            <w:vMerge w:val="restart"/>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支出合计</w:t>
            </w:r>
          </w:p>
        </w:tc>
        <w:tc>
          <w:tcPr>
            <w:tcW w:w="5369" w:type="dxa"/>
            <w:gridSpan w:val="10"/>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其中：</w:t>
            </w:r>
          </w:p>
        </w:tc>
        <w:tc>
          <w:tcPr>
            <w:tcW w:w="1021" w:type="dxa"/>
            <w:tcBorders>
              <w:left w:val="single" w:color="auto" w:sz="4" w:space="0"/>
              <w:bottom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结余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14" w:hRule="atLeast"/>
          <w:jc w:val="center"/>
        </w:trPr>
        <w:tc>
          <w:tcPr>
            <w:tcW w:w="1611" w:type="dxa"/>
            <w:gridSpan w:val="3"/>
            <w:vMerge w:val="continue"/>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1279" w:type="dxa"/>
            <w:gridSpan w:val="2"/>
            <w:vMerge w:val="continue"/>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tc>
        <w:tc>
          <w:tcPr>
            <w:tcW w:w="938" w:type="dxa"/>
            <w:gridSpan w:val="2"/>
            <w:vMerge w:val="restart"/>
            <w:tcBorders>
              <w:top w:val="single" w:color="auto" w:sz="4" w:space="0"/>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基本支出</w:t>
            </w:r>
          </w:p>
        </w:tc>
        <w:tc>
          <w:tcPr>
            <w:tcW w:w="2336" w:type="dxa"/>
            <w:gridSpan w:val="3"/>
            <w:tcBorders>
              <w:top w:val="single" w:color="auto" w:sz="4" w:space="0"/>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其中：</w:t>
            </w:r>
          </w:p>
        </w:tc>
        <w:tc>
          <w:tcPr>
            <w:tcW w:w="980" w:type="dxa"/>
            <w:gridSpan w:val="3"/>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项目支出</w:t>
            </w:r>
          </w:p>
        </w:tc>
        <w:tc>
          <w:tcPr>
            <w:tcW w:w="1115" w:type="dxa"/>
            <w:gridSpan w:val="2"/>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当年结余</w:t>
            </w:r>
          </w:p>
        </w:tc>
        <w:tc>
          <w:tcPr>
            <w:tcW w:w="1021" w:type="dxa"/>
            <w:vMerge w:val="restart"/>
            <w:tcBorders>
              <w:top w:val="single" w:color="auto" w:sz="4" w:space="0"/>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累计结余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14" w:hRule="atLeast"/>
          <w:jc w:val="center"/>
        </w:trPr>
        <w:tc>
          <w:tcPr>
            <w:tcW w:w="1611" w:type="dxa"/>
            <w:gridSpan w:val="3"/>
            <w:vMerge w:val="continue"/>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1279" w:type="dxa"/>
            <w:gridSpan w:val="2"/>
            <w:vMerge w:val="continue"/>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tc>
        <w:tc>
          <w:tcPr>
            <w:tcW w:w="938" w:type="dxa"/>
            <w:gridSpan w:val="2"/>
            <w:vMerge w:val="continue"/>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tc>
        <w:tc>
          <w:tcPr>
            <w:tcW w:w="1196"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人员支出</w:t>
            </w:r>
          </w:p>
        </w:tc>
        <w:tc>
          <w:tcPr>
            <w:tcW w:w="1140" w:type="dxa"/>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公用支出</w:t>
            </w:r>
          </w:p>
        </w:tc>
        <w:tc>
          <w:tcPr>
            <w:tcW w:w="980" w:type="dxa"/>
            <w:gridSpan w:val="3"/>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tc>
        <w:tc>
          <w:tcPr>
            <w:tcW w:w="1115" w:type="dxa"/>
            <w:gridSpan w:val="2"/>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tc>
        <w:tc>
          <w:tcPr>
            <w:tcW w:w="1021" w:type="dxa"/>
            <w:vMerge w:val="continue"/>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725" w:hRule="atLeast"/>
          <w:jc w:val="center"/>
        </w:trPr>
        <w:tc>
          <w:tcPr>
            <w:tcW w:w="1611" w:type="dxa"/>
            <w:gridSpan w:val="3"/>
            <w:vAlign w:val="center"/>
          </w:tcPr>
          <w:p>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局机关及二级机构汇总</w:t>
            </w:r>
          </w:p>
        </w:tc>
        <w:tc>
          <w:tcPr>
            <w:tcW w:w="1279"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8982.84</w:t>
            </w:r>
          </w:p>
        </w:tc>
        <w:tc>
          <w:tcPr>
            <w:tcW w:w="938" w:type="dxa"/>
            <w:gridSpan w:val="2"/>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2834.44</w:t>
            </w:r>
          </w:p>
        </w:tc>
        <w:tc>
          <w:tcPr>
            <w:tcW w:w="1196"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2470.10</w:t>
            </w:r>
          </w:p>
        </w:tc>
        <w:tc>
          <w:tcPr>
            <w:tcW w:w="1140" w:type="dxa"/>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364.35</w:t>
            </w:r>
          </w:p>
        </w:tc>
        <w:tc>
          <w:tcPr>
            <w:tcW w:w="980" w:type="dxa"/>
            <w:gridSpan w:val="3"/>
            <w:tcBorders>
              <w:left w:val="single" w:color="auto" w:sz="4" w:space="0"/>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6148.40</w:t>
            </w:r>
          </w:p>
        </w:tc>
        <w:tc>
          <w:tcPr>
            <w:tcW w:w="1115" w:type="dxa"/>
            <w:gridSpan w:val="2"/>
            <w:tcBorders>
              <w:left w:val="single" w:color="auto" w:sz="4" w:space="0"/>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0</w:t>
            </w:r>
          </w:p>
        </w:tc>
        <w:tc>
          <w:tcPr>
            <w:tcW w:w="1021" w:type="dxa"/>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94" w:hRule="atLeast"/>
          <w:jc w:val="center"/>
        </w:trPr>
        <w:tc>
          <w:tcPr>
            <w:tcW w:w="1611" w:type="dxa"/>
            <w:gridSpan w:val="3"/>
            <w:vAlign w:val="center"/>
          </w:tcPr>
          <w:p>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1.本级机构</w:t>
            </w:r>
          </w:p>
        </w:tc>
        <w:tc>
          <w:tcPr>
            <w:tcW w:w="1279"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6948.91</w:t>
            </w:r>
          </w:p>
        </w:tc>
        <w:tc>
          <w:tcPr>
            <w:tcW w:w="938" w:type="dxa"/>
            <w:gridSpan w:val="2"/>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2090.81</w:t>
            </w:r>
          </w:p>
        </w:tc>
        <w:tc>
          <w:tcPr>
            <w:tcW w:w="1196"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1836.33</w:t>
            </w:r>
          </w:p>
        </w:tc>
        <w:tc>
          <w:tcPr>
            <w:tcW w:w="1140" w:type="dxa"/>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254.47</w:t>
            </w:r>
          </w:p>
        </w:tc>
        <w:tc>
          <w:tcPr>
            <w:tcW w:w="980" w:type="dxa"/>
            <w:gridSpan w:val="3"/>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4858.10</w:t>
            </w:r>
          </w:p>
        </w:tc>
        <w:tc>
          <w:tcPr>
            <w:tcW w:w="1115"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0</w:t>
            </w:r>
          </w:p>
        </w:tc>
        <w:tc>
          <w:tcPr>
            <w:tcW w:w="1021" w:type="dxa"/>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810" w:hRule="atLeast"/>
          <w:jc w:val="center"/>
        </w:trPr>
        <w:tc>
          <w:tcPr>
            <w:tcW w:w="1611" w:type="dxa"/>
            <w:gridSpan w:val="3"/>
            <w:vAlign w:val="center"/>
          </w:tcPr>
          <w:p>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2.州中小微企业服务中心</w:t>
            </w:r>
          </w:p>
        </w:tc>
        <w:tc>
          <w:tcPr>
            <w:tcW w:w="1279"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1413.16</w:t>
            </w:r>
          </w:p>
        </w:tc>
        <w:tc>
          <w:tcPr>
            <w:tcW w:w="938" w:type="dxa"/>
            <w:gridSpan w:val="2"/>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277.53</w:t>
            </w:r>
          </w:p>
        </w:tc>
        <w:tc>
          <w:tcPr>
            <w:tcW w:w="1196"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258.59</w:t>
            </w:r>
          </w:p>
        </w:tc>
        <w:tc>
          <w:tcPr>
            <w:tcW w:w="1140" w:type="dxa"/>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18.94</w:t>
            </w:r>
          </w:p>
        </w:tc>
        <w:tc>
          <w:tcPr>
            <w:tcW w:w="980" w:type="dxa"/>
            <w:gridSpan w:val="3"/>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1135.63</w:t>
            </w:r>
          </w:p>
        </w:tc>
        <w:tc>
          <w:tcPr>
            <w:tcW w:w="1115"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021" w:type="dxa"/>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750" w:hRule="atLeast"/>
          <w:jc w:val="center"/>
        </w:trPr>
        <w:tc>
          <w:tcPr>
            <w:tcW w:w="1611" w:type="dxa"/>
            <w:gridSpan w:val="3"/>
            <w:vAlign w:val="center"/>
          </w:tcPr>
          <w:p>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3.州墙体材料改革办公室</w:t>
            </w:r>
          </w:p>
        </w:tc>
        <w:tc>
          <w:tcPr>
            <w:tcW w:w="1279"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173.98</w:t>
            </w:r>
          </w:p>
        </w:tc>
        <w:tc>
          <w:tcPr>
            <w:tcW w:w="938" w:type="dxa"/>
            <w:gridSpan w:val="2"/>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144.60</w:t>
            </w:r>
          </w:p>
        </w:tc>
        <w:tc>
          <w:tcPr>
            <w:tcW w:w="1196"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127.57</w:t>
            </w:r>
          </w:p>
        </w:tc>
        <w:tc>
          <w:tcPr>
            <w:tcW w:w="1140" w:type="dxa"/>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17.03</w:t>
            </w:r>
          </w:p>
        </w:tc>
        <w:tc>
          <w:tcPr>
            <w:tcW w:w="980" w:type="dxa"/>
            <w:gridSpan w:val="3"/>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29.39</w:t>
            </w:r>
          </w:p>
        </w:tc>
        <w:tc>
          <w:tcPr>
            <w:tcW w:w="1115"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021" w:type="dxa"/>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90" w:hRule="atLeast"/>
          <w:jc w:val="center"/>
        </w:trPr>
        <w:tc>
          <w:tcPr>
            <w:tcW w:w="1611" w:type="dxa"/>
            <w:gridSpan w:val="3"/>
            <w:vAlign w:val="center"/>
          </w:tcPr>
          <w:p>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4.州散装水泥办</w:t>
            </w:r>
          </w:p>
        </w:tc>
        <w:tc>
          <w:tcPr>
            <w:tcW w:w="1279"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173.43</w:t>
            </w:r>
          </w:p>
        </w:tc>
        <w:tc>
          <w:tcPr>
            <w:tcW w:w="938" w:type="dxa"/>
            <w:gridSpan w:val="2"/>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145.57</w:t>
            </w:r>
          </w:p>
        </w:tc>
        <w:tc>
          <w:tcPr>
            <w:tcW w:w="1196"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114.51</w:t>
            </w:r>
          </w:p>
        </w:tc>
        <w:tc>
          <w:tcPr>
            <w:tcW w:w="1140" w:type="dxa"/>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31.06</w:t>
            </w:r>
          </w:p>
        </w:tc>
        <w:tc>
          <w:tcPr>
            <w:tcW w:w="980" w:type="dxa"/>
            <w:gridSpan w:val="3"/>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27.86</w:t>
            </w:r>
          </w:p>
        </w:tc>
        <w:tc>
          <w:tcPr>
            <w:tcW w:w="1115"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021" w:type="dxa"/>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765" w:hRule="atLeast"/>
          <w:jc w:val="center"/>
        </w:trPr>
        <w:tc>
          <w:tcPr>
            <w:tcW w:w="1611" w:type="dxa"/>
            <w:gridSpan w:val="3"/>
            <w:vAlign w:val="center"/>
          </w:tcPr>
          <w:p>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5.湘西州无线电管理处</w:t>
            </w:r>
          </w:p>
        </w:tc>
        <w:tc>
          <w:tcPr>
            <w:tcW w:w="1279"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273.35</w:t>
            </w:r>
          </w:p>
        </w:tc>
        <w:tc>
          <w:tcPr>
            <w:tcW w:w="938" w:type="dxa"/>
            <w:gridSpan w:val="2"/>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175.94</w:t>
            </w:r>
          </w:p>
        </w:tc>
        <w:tc>
          <w:tcPr>
            <w:tcW w:w="1196"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133.10</w:t>
            </w:r>
          </w:p>
        </w:tc>
        <w:tc>
          <w:tcPr>
            <w:tcW w:w="1140" w:type="dxa"/>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42.84</w:t>
            </w:r>
          </w:p>
        </w:tc>
        <w:tc>
          <w:tcPr>
            <w:tcW w:w="980" w:type="dxa"/>
            <w:gridSpan w:val="3"/>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97.42</w:t>
            </w:r>
          </w:p>
        </w:tc>
        <w:tc>
          <w:tcPr>
            <w:tcW w:w="1115"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021" w:type="dxa"/>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14" w:hRule="atLeast"/>
          <w:jc w:val="center"/>
        </w:trPr>
        <w:tc>
          <w:tcPr>
            <w:tcW w:w="1611" w:type="dxa"/>
            <w:gridSpan w:val="3"/>
            <w:vMerge w:val="restart"/>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机构名称</w:t>
            </w:r>
          </w:p>
        </w:tc>
        <w:tc>
          <w:tcPr>
            <w:tcW w:w="1279" w:type="dxa"/>
            <w:gridSpan w:val="2"/>
            <w:vMerge w:val="restart"/>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三公经费</w:t>
            </w:r>
          </w:p>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合计</w:t>
            </w:r>
          </w:p>
        </w:tc>
        <w:tc>
          <w:tcPr>
            <w:tcW w:w="6390" w:type="dxa"/>
            <w:gridSpan w:val="11"/>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其中：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424" w:hRule="atLeast"/>
          <w:jc w:val="center"/>
        </w:trPr>
        <w:tc>
          <w:tcPr>
            <w:tcW w:w="1611" w:type="dxa"/>
            <w:gridSpan w:val="3"/>
            <w:vMerge w:val="continue"/>
            <w:vAlign w:val="bottom"/>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1279" w:type="dxa"/>
            <w:gridSpan w:val="2"/>
            <w:vMerge w:val="continue"/>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tc>
        <w:tc>
          <w:tcPr>
            <w:tcW w:w="938" w:type="dxa"/>
            <w:gridSpan w:val="2"/>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公务接待费</w:t>
            </w:r>
          </w:p>
        </w:tc>
        <w:tc>
          <w:tcPr>
            <w:tcW w:w="1196"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公务用车运行维护费</w:t>
            </w:r>
          </w:p>
        </w:tc>
        <w:tc>
          <w:tcPr>
            <w:tcW w:w="1939" w:type="dxa"/>
            <w:gridSpan w:val="3"/>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公务用车购置费</w:t>
            </w:r>
          </w:p>
        </w:tc>
        <w:tc>
          <w:tcPr>
            <w:tcW w:w="2317" w:type="dxa"/>
            <w:gridSpan w:val="4"/>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因公出国（境）费用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494" w:hRule="atLeast"/>
          <w:jc w:val="center"/>
        </w:trPr>
        <w:tc>
          <w:tcPr>
            <w:tcW w:w="1611" w:type="dxa"/>
            <w:gridSpan w:val="3"/>
            <w:vAlign w:val="center"/>
          </w:tcPr>
          <w:p>
            <w:pPr>
              <w:tabs>
                <w:tab w:val="left" w:pos="0"/>
              </w:tabs>
              <w:autoSpaceDN w:val="0"/>
              <w:spacing w:line="320" w:lineRule="exact"/>
              <w:ind w:left="0" w:leftChars="0" w:right="166" w:rightChars="79" w:firstLine="210" w:firstLineChars="100"/>
              <w:jc w:val="both"/>
              <w:textAlignment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color w:val="auto"/>
                <w:kern w:val="2"/>
                <w:sz w:val="21"/>
                <w:szCs w:val="21"/>
                <w:lang w:val="en-US" w:eastAsia="zh-CN" w:bidi="ar-SA"/>
              </w:rPr>
              <w:t>局机关及二级机构汇总</w:t>
            </w:r>
          </w:p>
        </w:tc>
        <w:tc>
          <w:tcPr>
            <w:tcW w:w="1279"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27.74</w:t>
            </w:r>
          </w:p>
        </w:tc>
        <w:tc>
          <w:tcPr>
            <w:tcW w:w="938" w:type="dxa"/>
            <w:gridSpan w:val="2"/>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2.91</w:t>
            </w:r>
          </w:p>
        </w:tc>
        <w:tc>
          <w:tcPr>
            <w:tcW w:w="1196"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24.83</w:t>
            </w:r>
          </w:p>
        </w:tc>
        <w:tc>
          <w:tcPr>
            <w:tcW w:w="1939" w:type="dxa"/>
            <w:gridSpan w:val="3"/>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2317" w:type="dxa"/>
            <w:gridSpan w:val="4"/>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80" w:hRule="atLeast"/>
          <w:jc w:val="center"/>
        </w:trPr>
        <w:tc>
          <w:tcPr>
            <w:tcW w:w="1611" w:type="dxa"/>
            <w:gridSpan w:val="3"/>
            <w:vAlign w:val="center"/>
          </w:tcPr>
          <w:p>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1.本级机构</w:t>
            </w:r>
          </w:p>
        </w:tc>
        <w:tc>
          <w:tcPr>
            <w:tcW w:w="1279"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23.25</w:t>
            </w:r>
          </w:p>
        </w:tc>
        <w:tc>
          <w:tcPr>
            <w:tcW w:w="938" w:type="dxa"/>
            <w:gridSpan w:val="2"/>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2.41</w:t>
            </w:r>
          </w:p>
        </w:tc>
        <w:tc>
          <w:tcPr>
            <w:tcW w:w="1196"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20.84</w:t>
            </w:r>
          </w:p>
        </w:tc>
        <w:tc>
          <w:tcPr>
            <w:tcW w:w="1939" w:type="dxa"/>
            <w:gridSpan w:val="3"/>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2317" w:type="dxa"/>
            <w:gridSpan w:val="4"/>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765" w:hRule="atLeast"/>
          <w:jc w:val="center"/>
        </w:trPr>
        <w:tc>
          <w:tcPr>
            <w:tcW w:w="1611" w:type="dxa"/>
            <w:gridSpan w:val="3"/>
            <w:vAlign w:val="center"/>
          </w:tcPr>
          <w:p>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2.州中小微企业服务中心</w:t>
            </w:r>
          </w:p>
        </w:tc>
        <w:tc>
          <w:tcPr>
            <w:tcW w:w="1279"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938" w:type="dxa"/>
            <w:gridSpan w:val="2"/>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196"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939" w:type="dxa"/>
            <w:gridSpan w:val="3"/>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2317" w:type="dxa"/>
            <w:gridSpan w:val="4"/>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780" w:hRule="atLeast"/>
          <w:jc w:val="center"/>
        </w:trPr>
        <w:tc>
          <w:tcPr>
            <w:tcW w:w="1611" w:type="dxa"/>
            <w:gridSpan w:val="3"/>
            <w:vAlign w:val="center"/>
          </w:tcPr>
          <w:p>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3.州墙体材料改革办公室</w:t>
            </w:r>
          </w:p>
        </w:tc>
        <w:tc>
          <w:tcPr>
            <w:tcW w:w="1279"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0.44</w:t>
            </w:r>
          </w:p>
        </w:tc>
        <w:tc>
          <w:tcPr>
            <w:tcW w:w="938" w:type="dxa"/>
            <w:gridSpan w:val="2"/>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0.44</w:t>
            </w:r>
          </w:p>
        </w:tc>
        <w:tc>
          <w:tcPr>
            <w:tcW w:w="1196"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939" w:type="dxa"/>
            <w:gridSpan w:val="3"/>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2317" w:type="dxa"/>
            <w:gridSpan w:val="4"/>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825" w:hRule="atLeast"/>
          <w:jc w:val="center"/>
        </w:trPr>
        <w:tc>
          <w:tcPr>
            <w:tcW w:w="1611" w:type="dxa"/>
            <w:gridSpan w:val="3"/>
            <w:vAlign w:val="center"/>
          </w:tcPr>
          <w:p>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4.州散装水泥办</w:t>
            </w:r>
          </w:p>
        </w:tc>
        <w:tc>
          <w:tcPr>
            <w:tcW w:w="1279"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938" w:type="dxa"/>
            <w:gridSpan w:val="2"/>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196"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939" w:type="dxa"/>
            <w:gridSpan w:val="3"/>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2317" w:type="dxa"/>
            <w:gridSpan w:val="4"/>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735" w:hRule="atLeast"/>
          <w:jc w:val="center"/>
        </w:trPr>
        <w:tc>
          <w:tcPr>
            <w:tcW w:w="1611" w:type="dxa"/>
            <w:gridSpan w:val="3"/>
            <w:vAlign w:val="center"/>
          </w:tcPr>
          <w:p>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5.湘西州无线电管理处</w:t>
            </w:r>
          </w:p>
        </w:tc>
        <w:tc>
          <w:tcPr>
            <w:tcW w:w="1279"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4.05</w:t>
            </w:r>
          </w:p>
        </w:tc>
        <w:tc>
          <w:tcPr>
            <w:tcW w:w="938" w:type="dxa"/>
            <w:gridSpan w:val="2"/>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0.06</w:t>
            </w:r>
          </w:p>
        </w:tc>
        <w:tc>
          <w:tcPr>
            <w:tcW w:w="1196"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3.99</w:t>
            </w:r>
          </w:p>
        </w:tc>
        <w:tc>
          <w:tcPr>
            <w:tcW w:w="1939" w:type="dxa"/>
            <w:gridSpan w:val="3"/>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2317" w:type="dxa"/>
            <w:gridSpan w:val="4"/>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31" w:hRule="atLeast"/>
          <w:jc w:val="center"/>
        </w:trPr>
        <w:tc>
          <w:tcPr>
            <w:tcW w:w="1611" w:type="dxa"/>
            <w:gridSpan w:val="3"/>
            <w:vMerge w:val="restart"/>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机构名称</w:t>
            </w:r>
          </w:p>
        </w:tc>
        <w:tc>
          <w:tcPr>
            <w:tcW w:w="1279" w:type="dxa"/>
            <w:gridSpan w:val="2"/>
            <w:vMerge w:val="restart"/>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固定资产</w:t>
            </w:r>
          </w:p>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合计</w:t>
            </w:r>
          </w:p>
        </w:tc>
        <w:tc>
          <w:tcPr>
            <w:tcW w:w="6390" w:type="dxa"/>
            <w:gridSpan w:val="11"/>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ind w:firstLine="1890" w:firstLineChars="90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其中：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14" w:hRule="atLeast"/>
          <w:jc w:val="center"/>
        </w:trPr>
        <w:tc>
          <w:tcPr>
            <w:tcW w:w="1611" w:type="dxa"/>
            <w:gridSpan w:val="3"/>
            <w:vMerge w:val="continue"/>
            <w:vAlign w:val="bottom"/>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1279" w:type="dxa"/>
            <w:gridSpan w:val="2"/>
            <w:vMerge w:val="continue"/>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tc>
        <w:tc>
          <w:tcPr>
            <w:tcW w:w="2134" w:type="dxa"/>
            <w:gridSpan w:val="4"/>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在用固定资产</w:t>
            </w:r>
          </w:p>
        </w:tc>
        <w:tc>
          <w:tcPr>
            <w:tcW w:w="1394" w:type="dxa"/>
            <w:gridSpan w:val="2"/>
            <w:tcBorders>
              <w:top w:val="single" w:color="auto" w:sz="4" w:space="0"/>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出租固定资产</w:t>
            </w:r>
          </w:p>
        </w:tc>
        <w:tc>
          <w:tcPr>
            <w:tcW w:w="2862" w:type="dxa"/>
            <w:gridSpan w:val="5"/>
            <w:tcBorders>
              <w:top w:val="single" w:color="auto" w:sz="4" w:space="0"/>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936" w:hRule="atLeast"/>
          <w:jc w:val="center"/>
        </w:trPr>
        <w:tc>
          <w:tcPr>
            <w:tcW w:w="1611" w:type="dxa"/>
            <w:gridSpan w:val="3"/>
            <w:vAlign w:val="center"/>
          </w:tcPr>
          <w:p>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局机关及二级机构汇总</w:t>
            </w:r>
          </w:p>
        </w:tc>
        <w:tc>
          <w:tcPr>
            <w:tcW w:w="1279"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3999.58</w:t>
            </w:r>
          </w:p>
        </w:tc>
        <w:tc>
          <w:tcPr>
            <w:tcW w:w="2134" w:type="dxa"/>
            <w:gridSpan w:val="4"/>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3999.58</w:t>
            </w:r>
          </w:p>
        </w:tc>
        <w:tc>
          <w:tcPr>
            <w:tcW w:w="1394"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rPr>
              <w:t>0</w:t>
            </w:r>
          </w:p>
        </w:tc>
        <w:tc>
          <w:tcPr>
            <w:tcW w:w="2862" w:type="dxa"/>
            <w:gridSpan w:val="5"/>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710" w:hRule="atLeast"/>
          <w:jc w:val="center"/>
        </w:trPr>
        <w:tc>
          <w:tcPr>
            <w:tcW w:w="1611" w:type="dxa"/>
            <w:gridSpan w:val="3"/>
            <w:vAlign w:val="center"/>
          </w:tcPr>
          <w:p>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1.本级机构</w:t>
            </w:r>
          </w:p>
        </w:tc>
        <w:tc>
          <w:tcPr>
            <w:tcW w:w="1279"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1286.80</w:t>
            </w:r>
          </w:p>
        </w:tc>
        <w:tc>
          <w:tcPr>
            <w:tcW w:w="2134" w:type="dxa"/>
            <w:gridSpan w:val="4"/>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1286.80</w:t>
            </w:r>
          </w:p>
        </w:tc>
        <w:tc>
          <w:tcPr>
            <w:tcW w:w="1394"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rPr>
              <w:t>0</w:t>
            </w:r>
          </w:p>
        </w:tc>
        <w:tc>
          <w:tcPr>
            <w:tcW w:w="2862" w:type="dxa"/>
            <w:gridSpan w:val="5"/>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795" w:hRule="atLeast"/>
          <w:jc w:val="center"/>
        </w:trPr>
        <w:tc>
          <w:tcPr>
            <w:tcW w:w="1611" w:type="dxa"/>
            <w:gridSpan w:val="3"/>
            <w:vAlign w:val="center"/>
          </w:tcPr>
          <w:p>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2.州中小微企业服务中心</w:t>
            </w:r>
          </w:p>
        </w:tc>
        <w:tc>
          <w:tcPr>
            <w:tcW w:w="1279"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131.16</w:t>
            </w:r>
          </w:p>
        </w:tc>
        <w:tc>
          <w:tcPr>
            <w:tcW w:w="2134" w:type="dxa"/>
            <w:gridSpan w:val="4"/>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131.16</w:t>
            </w:r>
          </w:p>
        </w:tc>
        <w:tc>
          <w:tcPr>
            <w:tcW w:w="1394"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0</w:t>
            </w:r>
          </w:p>
        </w:tc>
        <w:tc>
          <w:tcPr>
            <w:tcW w:w="2862" w:type="dxa"/>
            <w:gridSpan w:val="5"/>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494" w:hRule="atLeast"/>
          <w:jc w:val="center"/>
        </w:trPr>
        <w:tc>
          <w:tcPr>
            <w:tcW w:w="1611" w:type="dxa"/>
            <w:gridSpan w:val="3"/>
            <w:vAlign w:val="center"/>
          </w:tcPr>
          <w:p>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3.州墙体材料改革办公室</w:t>
            </w:r>
          </w:p>
        </w:tc>
        <w:tc>
          <w:tcPr>
            <w:tcW w:w="1279"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4.70</w:t>
            </w:r>
          </w:p>
        </w:tc>
        <w:tc>
          <w:tcPr>
            <w:tcW w:w="2134" w:type="dxa"/>
            <w:gridSpan w:val="4"/>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4.70</w:t>
            </w:r>
          </w:p>
        </w:tc>
        <w:tc>
          <w:tcPr>
            <w:tcW w:w="1394"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0</w:t>
            </w:r>
          </w:p>
        </w:tc>
        <w:tc>
          <w:tcPr>
            <w:tcW w:w="2862" w:type="dxa"/>
            <w:gridSpan w:val="5"/>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810" w:hRule="atLeast"/>
          <w:jc w:val="center"/>
        </w:trPr>
        <w:tc>
          <w:tcPr>
            <w:tcW w:w="1611" w:type="dxa"/>
            <w:gridSpan w:val="3"/>
            <w:vAlign w:val="center"/>
          </w:tcPr>
          <w:p>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4.州散装水泥办</w:t>
            </w:r>
          </w:p>
        </w:tc>
        <w:tc>
          <w:tcPr>
            <w:tcW w:w="1279"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38.58</w:t>
            </w:r>
          </w:p>
        </w:tc>
        <w:tc>
          <w:tcPr>
            <w:tcW w:w="2134" w:type="dxa"/>
            <w:gridSpan w:val="4"/>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38.58</w:t>
            </w:r>
          </w:p>
        </w:tc>
        <w:tc>
          <w:tcPr>
            <w:tcW w:w="1394"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0</w:t>
            </w:r>
          </w:p>
        </w:tc>
        <w:tc>
          <w:tcPr>
            <w:tcW w:w="2862" w:type="dxa"/>
            <w:gridSpan w:val="5"/>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885" w:hRule="atLeast"/>
          <w:jc w:val="center"/>
        </w:trPr>
        <w:tc>
          <w:tcPr>
            <w:tcW w:w="1611" w:type="dxa"/>
            <w:gridSpan w:val="3"/>
            <w:vAlign w:val="center"/>
          </w:tcPr>
          <w:p>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5.湘西州无线电管理处</w:t>
            </w:r>
          </w:p>
        </w:tc>
        <w:tc>
          <w:tcPr>
            <w:tcW w:w="1279"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2538.33</w:t>
            </w:r>
          </w:p>
        </w:tc>
        <w:tc>
          <w:tcPr>
            <w:tcW w:w="2134" w:type="dxa"/>
            <w:gridSpan w:val="4"/>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2538.33</w:t>
            </w:r>
          </w:p>
        </w:tc>
        <w:tc>
          <w:tcPr>
            <w:tcW w:w="1394" w:type="dxa"/>
            <w:gridSpan w:val="2"/>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0</w:t>
            </w:r>
          </w:p>
        </w:tc>
        <w:tc>
          <w:tcPr>
            <w:tcW w:w="2862" w:type="dxa"/>
            <w:gridSpan w:val="5"/>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770" w:hRule="atLeast"/>
          <w:jc w:val="center"/>
        </w:trPr>
        <w:tc>
          <w:tcPr>
            <w:tcW w:w="9280" w:type="dxa"/>
            <w:gridSpan w:val="16"/>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三、部门（单位）整体支出绩效自评情况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790" w:hRule="atLeast"/>
          <w:jc w:val="center"/>
        </w:trPr>
        <w:tc>
          <w:tcPr>
            <w:tcW w:w="1195" w:type="dxa"/>
            <w:vMerge w:val="restart"/>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整体支出绩效定性目标及实施计划完成情况</w:t>
            </w:r>
          </w:p>
        </w:tc>
        <w:tc>
          <w:tcPr>
            <w:tcW w:w="3829" w:type="dxa"/>
            <w:gridSpan w:val="8"/>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预期目标</w:t>
            </w:r>
          </w:p>
        </w:tc>
        <w:tc>
          <w:tcPr>
            <w:tcW w:w="4256" w:type="dxa"/>
            <w:gridSpan w:val="7"/>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实际完成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085" w:hRule="atLeast"/>
          <w:jc w:val="center"/>
        </w:trPr>
        <w:tc>
          <w:tcPr>
            <w:tcW w:w="1195" w:type="dxa"/>
            <w:vMerge w:val="continue"/>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3829" w:type="dxa"/>
            <w:gridSpan w:val="8"/>
            <w:vAlign w:val="center"/>
          </w:tcPr>
          <w:p>
            <w:pPr>
              <w:keepNext w:val="0"/>
              <w:keepLines w:val="0"/>
              <w:pageBreakBefore w:val="0"/>
              <w:kinsoku/>
              <w:wordWrap/>
              <w:overflowPunct/>
              <w:topLinePunct w:val="0"/>
              <w:autoSpaceDE/>
              <w:bidi w:val="0"/>
              <w:adjustRightInd/>
              <w:spacing w:line="480" w:lineRule="exact"/>
              <w:ind w:left="0" w:leftChars="0" w:firstLine="199" w:firstLineChars="95"/>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目标</w:t>
            </w:r>
            <w:r>
              <w:rPr>
                <w:rFonts w:hint="eastAsia" w:ascii="宋体" w:hAnsi="宋体" w:cs="宋体"/>
                <w:color w:val="auto"/>
                <w:sz w:val="21"/>
                <w:szCs w:val="21"/>
                <w:lang w:val="en-US" w:eastAsia="zh-CN"/>
              </w:rPr>
              <w:t>1</w:t>
            </w:r>
            <w:r>
              <w:rPr>
                <w:rFonts w:hint="eastAsia" w:ascii="宋体" w:hAnsi="宋体" w:eastAsia="宋体" w:cs="宋体"/>
                <w:color w:val="auto"/>
                <w:sz w:val="21"/>
                <w:szCs w:val="21"/>
                <w:lang w:val="en-US" w:eastAsia="zh-CN"/>
              </w:rPr>
              <w:t>：优势产业支撑有力</w:t>
            </w:r>
          </w:p>
        </w:tc>
        <w:tc>
          <w:tcPr>
            <w:tcW w:w="4256" w:type="dxa"/>
            <w:gridSpan w:val="7"/>
            <w:vAlign w:val="center"/>
          </w:tcPr>
          <w:p>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以“链长制”为总揽，大力推进10条优势产业链建设，有力支撑我州经济大盘稳定和经济高质量发展。全州10条优势产业链“四上企业”实现产值增速4.5%、应纳税收同比增长23.2%。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4515" w:hRule="atLeast"/>
          <w:jc w:val="center"/>
        </w:trPr>
        <w:tc>
          <w:tcPr>
            <w:tcW w:w="1195" w:type="dxa"/>
            <w:vMerge w:val="continue"/>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3829" w:type="dxa"/>
            <w:gridSpan w:val="8"/>
            <w:vAlign w:val="center"/>
          </w:tcPr>
          <w:p>
            <w:pPr>
              <w:keepNext w:val="0"/>
              <w:keepLines w:val="0"/>
              <w:pageBreakBefore w:val="0"/>
              <w:kinsoku/>
              <w:wordWrap/>
              <w:overflowPunct/>
              <w:topLinePunct w:val="0"/>
              <w:autoSpaceDE/>
              <w:bidi w:val="0"/>
              <w:adjustRightInd/>
              <w:spacing w:line="480" w:lineRule="exact"/>
              <w:ind w:left="0" w:leftChars="0" w:firstLine="199" w:firstLineChars="95"/>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目标</w:t>
            </w:r>
            <w:r>
              <w:rPr>
                <w:rFonts w:hint="eastAsia" w:ascii="宋体" w:hAnsi="宋体" w:cs="宋体"/>
                <w:color w:val="auto"/>
                <w:sz w:val="21"/>
                <w:szCs w:val="21"/>
                <w:lang w:val="en-US" w:eastAsia="zh-CN"/>
              </w:rPr>
              <w:t>2</w:t>
            </w:r>
            <w:r>
              <w:rPr>
                <w:rFonts w:hint="eastAsia" w:ascii="宋体" w:hAnsi="宋体" w:eastAsia="宋体" w:cs="宋体"/>
                <w:color w:val="auto"/>
                <w:sz w:val="21"/>
                <w:szCs w:val="21"/>
                <w:lang w:val="en-US" w:eastAsia="zh-CN"/>
              </w:rPr>
              <w:t>：营商环境持续改善</w:t>
            </w:r>
            <w:r>
              <w:rPr>
                <w:rFonts w:hint="eastAsia" w:ascii="宋体" w:hAnsi="宋体" w:cs="宋体"/>
                <w:color w:val="auto"/>
                <w:sz w:val="21"/>
                <w:szCs w:val="21"/>
                <w:lang w:val="en-US" w:eastAsia="zh-CN"/>
              </w:rPr>
              <w:t>，工业招商成效明显</w:t>
            </w:r>
          </w:p>
        </w:tc>
        <w:tc>
          <w:tcPr>
            <w:tcW w:w="4256" w:type="dxa"/>
            <w:gridSpan w:val="7"/>
            <w:vAlign w:val="center"/>
          </w:tcPr>
          <w:p>
            <w:pPr>
              <w:tabs>
                <w:tab w:val="left" w:pos="0"/>
              </w:tabs>
              <w:autoSpaceDN w:val="0"/>
              <w:spacing w:line="320" w:lineRule="exact"/>
              <w:ind w:left="0" w:leftChars="0" w:right="166" w:rightChars="79" w:firstLine="0" w:firstLineChars="0"/>
              <w:jc w:val="both"/>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招商专班积极对接粤港澳大湾区产业转移等战略，先后奔赴广州、深圳、上海、浙江等地市，采取“手拉手”、“屏对屏”等灵活多样的招商方式，聚焦10条优势产业链建设，开展精准招商。2022年全州新招引落地3000万元以上的工业项目40个，合同或协议投资额达102.55亿元。其中，古丈友立先进储能材料产业基地（总投资14亿元）、吉首FPC产业集群项目（总投资23亿元）、湘西高新区深圳华美兴泰户外储能（总投资5亿元）等一批重大项目落地建设，智和信天然活性产品生产、同年控股干细胞产业化、祥程科技新型环保节能铝型材等一批项目（一期）已建成投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3530" w:hRule="atLeast"/>
          <w:jc w:val="center"/>
        </w:trPr>
        <w:tc>
          <w:tcPr>
            <w:tcW w:w="1195" w:type="dxa"/>
            <w:vMerge w:val="continue"/>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3829" w:type="dxa"/>
            <w:gridSpan w:val="8"/>
            <w:vAlign w:val="center"/>
          </w:tcPr>
          <w:p>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目标</w:t>
            </w: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：新增规模以上工业企业行动有序推进</w:t>
            </w:r>
            <w:r>
              <w:rPr>
                <w:rFonts w:hint="eastAsia" w:ascii="宋体" w:hAnsi="宋体" w:cs="宋体"/>
                <w:color w:val="auto"/>
                <w:sz w:val="21"/>
                <w:szCs w:val="21"/>
                <w:lang w:val="en-US" w:eastAsia="zh-CN"/>
              </w:rPr>
              <w:t>，企业活力不断激发</w:t>
            </w:r>
          </w:p>
        </w:tc>
        <w:tc>
          <w:tcPr>
            <w:tcW w:w="4256" w:type="dxa"/>
            <w:gridSpan w:val="7"/>
            <w:vAlign w:val="center"/>
          </w:tcPr>
          <w:p>
            <w:pPr>
              <w:tabs>
                <w:tab w:val="left" w:pos="0"/>
              </w:tabs>
              <w:autoSpaceDN w:val="0"/>
              <w:spacing w:line="320" w:lineRule="exact"/>
              <w:ind w:left="0" w:leftChars="0" w:right="166" w:rightChars="79" w:firstLine="0" w:firstLineChars="0"/>
              <w:jc w:val="both"/>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全州新增规模工业企业35户</w:t>
            </w:r>
            <w:r>
              <w:rPr>
                <w:rFonts w:hint="eastAsia" w:ascii="宋体" w:hAnsi="宋体" w:cs="宋体"/>
                <w:color w:val="auto"/>
                <w:sz w:val="21"/>
                <w:szCs w:val="21"/>
                <w:lang w:val="en-US" w:eastAsia="zh-CN"/>
              </w:rPr>
              <w:t>，创历史新高。</w:t>
            </w:r>
            <w:r>
              <w:rPr>
                <w:rFonts w:hint="eastAsia" w:ascii="宋体" w:hAnsi="宋体" w:eastAsia="宋体" w:cs="宋体"/>
                <w:color w:val="auto"/>
                <w:sz w:val="21"/>
                <w:szCs w:val="21"/>
                <w:lang w:val="en-US" w:eastAsia="zh-CN"/>
              </w:rPr>
              <w:t xml:space="preserve"> 中小企业专精特新发展取得新的突破，培育新增省级以上专精特新“小巨人”企业14家、省制造业单项冠军企业1家，其中，金昊科技成功申报国家级“小巨人”企业，丰达合金氮化锰获批省制造业单项冠军产品，均实现了零的突破。企业创新发展平台支撑不断增强，全州省级以上制造业领域研发创新平台达到31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805" w:hRule="atLeast"/>
          <w:jc w:val="center"/>
        </w:trPr>
        <w:tc>
          <w:tcPr>
            <w:tcW w:w="1195" w:type="dxa"/>
            <w:vMerge w:val="continue"/>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3829" w:type="dxa"/>
            <w:gridSpan w:val="8"/>
            <w:vAlign w:val="center"/>
          </w:tcPr>
          <w:p>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目标</w:t>
            </w:r>
            <w:r>
              <w:rPr>
                <w:rFonts w:hint="eastAsia" w:ascii="宋体" w:hAnsi="宋体" w:cs="宋体"/>
                <w:color w:val="auto"/>
                <w:sz w:val="21"/>
                <w:szCs w:val="21"/>
                <w:lang w:val="en-US" w:eastAsia="zh-CN"/>
              </w:rPr>
              <w:t>4</w:t>
            </w:r>
            <w:r>
              <w:rPr>
                <w:rFonts w:hint="eastAsia" w:ascii="宋体" w:hAnsi="宋体" w:eastAsia="宋体" w:cs="宋体"/>
                <w:color w:val="auto"/>
                <w:sz w:val="21"/>
                <w:szCs w:val="21"/>
                <w:lang w:val="en-US" w:eastAsia="zh-CN"/>
              </w:rPr>
              <w:t>：制造业数字化发展取得新成效</w:t>
            </w:r>
          </w:p>
        </w:tc>
        <w:tc>
          <w:tcPr>
            <w:tcW w:w="4256" w:type="dxa"/>
            <w:gridSpan w:val="7"/>
            <w:vAlign w:val="center"/>
          </w:tcPr>
          <w:p>
            <w:pPr>
              <w:tabs>
                <w:tab w:val="left" w:pos="0"/>
              </w:tabs>
              <w:autoSpaceDN w:val="0"/>
              <w:spacing w:line="320" w:lineRule="exact"/>
              <w:ind w:left="0" w:leftChars="0" w:right="166" w:rightChars="79" w:firstLine="0" w:firstLineChars="0"/>
              <w:jc w:val="both"/>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长潭泵业成功创建省级工业互联网平台，实现了零的突破，为我州加快推动制造业数字化转型树立了标杆，发挥了示范作用。酒鬼酒、奥科2家企业成功申报省制造业“三化”项目，锐阳电子等5家企业获得省移动互联网专项资金支持，长潭泵业等3家企业纳入工业互联网网络安全分类分级管理试点企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775" w:hRule="atLeast"/>
          <w:jc w:val="center"/>
        </w:trPr>
        <w:tc>
          <w:tcPr>
            <w:tcW w:w="1195" w:type="dxa"/>
            <w:vMerge w:val="continue"/>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3829" w:type="dxa"/>
            <w:gridSpan w:val="8"/>
            <w:vAlign w:val="center"/>
          </w:tcPr>
          <w:p>
            <w:pPr>
              <w:tabs>
                <w:tab w:val="left" w:pos="0"/>
              </w:tabs>
              <w:autoSpaceDN w:val="0"/>
              <w:spacing w:line="320" w:lineRule="exact"/>
              <w:ind w:left="0" w:leftChars="0" w:right="166" w:rightChars="79" w:firstLine="0" w:firstLineChars="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目标</w:t>
            </w:r>
            <w:r>
              <w:rPr>
                <w:rFonts w:hint="eastAsia" w:ascii="宋体" w:hAnsi="宋体" w:cs="宋体"/>
                <w:color w:val="auto"/>
                <w:sz w:val="21"/>
                <w:szCs w:val="21"/>
                <w:lang w:val="en-US" w:eastAsia="zh-CN"/>
              </w:rPr>
              <w:t>5</w:t>
            </w:r>
            <w:r>
              <w:rPr>
                <w:rFonts w:hint="eastAsia" w:ascii="宋体" w:hAnsi="宋体" w:eastAsia="宋体" w:cs="宋体"/>
                <w:color w:val="auto"/>
                <w:sz w:val="21"/>
                <w:szCs w:val="21"/>
                <w:lang w:val="en-US" w:eastAsia="zh-CN"/>
              </w:rPr>
              <w:t>：深化“纾困增效”行动</w:t>
            </w:r>
            <w:r>
              <w:rPr>
                <w:rFonts w:hint="eastAsia" w:ascii="宋体" w:hAnsi="宋体" w:cs="宋体"/>
                <w:color w:val="auto"/>
                <w:sz w:val="21"/>
                <w:szCs w:val="21"/>
                <w:lang w:val="en-US" w:eastAsia="zh-CN"/>
              </w:rPr>
              <w:t>，助力企业扭亏为盈</w:t>
            </w:r>
          </w:p>
        </w:tc>
        <w:tc>
          <w:tcPr>
            <w:tcW w:w="4256" w:type="dxa"/>
            <w:gridSpan w:val="7"/>
            <w:vAlign w:val="center"/>
          </w:tcPr>
          <w:p>
            <w:pPr>
              <w:tabs>
                <w:tab w:val="left" w:pos="0"/>
              </w:tabs>
              <w:autoSpaceDN w:val="0"/>
              <w:spacing w:line="320" w:lineRule="exact"/>
              <w:ind w:left="0" w:leftChars="0" w:right="166" w:rightChars="79" w:firstLine="0" w:firstLineChars="0"/>
              <w:jc w:val="both"/>
              <w:textAlignment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lang w:val="en-US" w:eastAsia="zh-CN"/>
              </w:rPr>
              <w:t>组建财务、税务、工艺技术、金融等方面的专家团队，上门为亏损企业把脉问诊，助力企业扭亏为盈。累计选派联企干部1867名，走访企业2265家，答复解决企业反映问题2823个，帮助企业化解了一大批“急难愁盼”，促进了惠企政策的落实兑现。2022年末，全州规模工业企业亏损22户，较年初减少50户；亏损面7.8%，较年初下降14.2个百分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270" w:hRule="atLeast"/>
          <w:jc w:val="center"/>
        </w:trPr>
        <w:tc>
          <w:tcPr>
            <w:tcW w:w="1195" w:type="dxa"/>
            <w:vMerge w:val="continue"/>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3829" w:type="dxa"/>
            <w:gridSpan w:val="8"/>
            <w:vAlign w:val="center"/>
          </w:tcPr>
          <w:p>
            <w:pPr>
              <w:tabs>
                <w:tab w:val="left" w:pos="0"/>
              </w:tabs>
              <w:autoSpaceDN w:val="0"/>
              <w:spacing w:line="320" w:lineRule="exact"/>
              <w:ind w:left="0" w:leftChars="0" w:right="166" w:rightChars="79" w:firstLine="0" w:firstLineChars="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目标</w:t>
            </w:r>
            <w:r>
              <w:rPr>
                <w:rFonts w:hint="eastAsia" w:ascii="宋体" w:hAnsi="宋体" w:cs="宋体"/>
                <w:color w:val="auto"/>
                <w:sz w:val="21"/>
                <w:szCs w:val="21"/>
                <w:lang w:val="en-US" w:eastAsia="zh-CN"/>
              </w:rPr>
              <w:t>6</w:t>
            </w:r>
            <w:r>
              <w:rPr>
                <w:rFonts w:hint="eastAsia" w:ascii="宋体" w:hAnsi="宋体" w:eastAsia="宋体" w:cs="宋体"/>
                <w:color w:val="auto"/>
                <w:sz w:val="21"/>
                <w:szCs w:val="21"/>
                <w:lang w:val="en-US" w:eastAsia="zh-CN"/>
              </w:rPr>
              <w:t>：</w:t>
            </w:r>
            <w:r>
              <w:rPr>
                <w:rFonts w:hint="eastAsia" w:ascii="宋体" w:hAnsi="宋体" w:cs="宋体"/>
                <w:color w:val="auto"/>
                <w:sz w:val="21"/>
                <w:szCs w:val="21"/>
                <w:lang w:val="en-US" w:eastAsia="zh-CN"/>
              </w:rPr>
              <w:t>加快</w:t>
            </w:r>
            <w:r>
              <w:rPr>
                <w:rFonts w:hint="eastAsia" w:ascii="宋体" w:hAnsi="宋体" w:eastAsia="宋体" w:cs="宋体"/>
                <w:color w:val="auto"/>
                <w:sz w:val="21"/>
                <w:szCs w:val="21"/>
                <w:lang w:val="en-US" w:eastAsia="zh-CN"/>
              </w:rPr>
              <w:t>通信基础设施建设网络基础逐步夯实</w:t>
            </w:r>
            <w:r>
              <w:rPr>
                <w:rFonts w:hint="eastAsia" w:ascii="宋体" w:hAnsi="宋体" w:cs="宋体"/>
                <w:color w:val="auto"/>
                <w:sz w:val="21"/>
                <w:szCs w:val="21"/>
                <w:lang w:val="en-US" w:eastAsia="zh-CN"/>
              </w:rPr>
              <w:t>。</w:t>
            </w:r>
          </w:p>
        </w:tc>
        <w:tc>
          <w:tcPr>
            <w:tcW w:w="4256" w:type="dxa"/>
            <w:gridSpan w:val="7"/>
            <w:vAlign w:val="center"/>
          </w:tcPr>
          <w:p>
            <w:pPr>
              <w:tabs>
                <w:tab w:val="left" w:pos="0"/>
              </w:tabs>
              <w:autoSpaceDN w:val="0"/>
              <w:spacing w:line="320" w:lineRule="exact"/>
              <w:ind w:right="166" w:rightChars="79" w:firstLine="420" w:firstLineChars="200"/>
              <w:jc w:val="left"/>
              <w:textAlignment w:val="center"/>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全州通信基础设施建设完成投资5.04亿元，完成年度计划的126.1%；建成5G基站822个，完成占比100%。目前，全州5G基站在网数超过4000个，4G基站在网数接近10000个；4G网络行政村覆盖率达到100%、自然村达到92%；乡镇以上行政区、工业园区及重要景点实现5G连续覆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05" w:hRule="atLeast"/>
          <w:jc w:val="center"/>
        </w:trPr>
        <w:tc>
          <w:tcPr>
            <w:tcW w:w="1195" w:type="dxa"/>
            <w:vMerge w:val="restart"/>
            <w:vAlign w:val="center"/>
          </w:tcPr>
          <w:p>
            <w:pPr>
              <w:tabs>
                <w:tab w:val="left" w:pos="0"/>
              </w:tabs>
              <w:autoSpaceDN w:val="0"/>
              <w:spacing w:line="320" w:lineRule="exact"/>
              <w:ind w:left="0" w:leftChars="0" w:right="166" w:rightChars="79" w:firstLine="0" w:firstLineChars="0"/>
              <w:jc w:val="both"/>
              <w:textAlignment w:val="center"/>
              <w:rPr>
                <w:rFonts w:hint="eastAsia" w:ascii="宋体" w:hAnsi="宋体" w:eastAsia="宋体" w:cs="宋体"/>
                <w:color w:val="auto"/>
                <w:sz w:val="21"/>
                <w:szCs w:val="21"/>
                <w:lang w:val="en-US" w:eastAsia="zh-CN"/>
              </w:rPr>
            </w:pPr>
            <w:r>
              <w:rPr>
                <w:rFonts w:hint="eastAsia" w:asciiTheme="minorEastAsia" w:hAnsiTheme="minorEastAsia" w:eastAsiaTheme="minorEastAsia" w:cstheme="minorEastAsia"/>
                <w:color w:val="auto"/>
                <w:sz w:val="21"/>
                <w:szCs w:val="21"/>
                <w:highlight w:val="none"/>
              </w:rPr>
              <w:t xml:space="preserve"> </w:t>
            </w:r>
            <w:r>
              <w:rPr>
                <w:rFonts w:hint="eastAsia" w:ascii="宋体" w:hAnsi="宋体" w:eastAsia="宋体" w:cs="宋体"/>
                <w:color w:val="auto"/>
                <w:sz w:val="21"/>
                <w:szCs w:val="21"/>
                <w:lang w:val="en-US" w:eastAsia="zh-CN"/>
              </w:rPr>
              <w:t>整体支出</w:t>
            </w:r>
          </w:p>
          <w:p>
            <w:pPr>
              <w:tabs>
                <w:tab w:val="left" w:pos="0"/>
              </w:tabs>
              <w:autoSpaceDN w:val="0"/>
              <w:spacing w:line="320" w:lineRule="exact"/>
              <w:ind w:left="0" w:leftChars="0" w:right="166" w:rightChars="79" w:firstLine="0" w:firstLineChars="0"/>
              <w:jc w:val="both"/>
              <w:textAlignment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color w:val="auto"/>
                <w:sz w:val="21"/>
                <w:szCs w:val="21"/>
                <w:lang w:val="en-US" w:eastAsia="zh-CN"/>
              </w:rPr>
              <w:t>绩效定量目标及实施计划完成情况</w:t>
            </w:r>
          </w:p>
        </w:tc>
        <w:tc>
          <w:tcPr>
            <w:tcW w:w="3829" w:type="dxa"/>
            <w:gridSpan w:val="8"/>
            <w:tcBorders>
              <w:right w:val="single" w:color="auto" w:sz="4" w:space="0"/>
            </w:tcBorders>
            <w:vAlign w:val="center"/>
          </w:tcPr>
          <w:p>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评价内容</w:t>
            </w:r>
          </w:p>
        </w:tc>
        <w:tc>
          <w:tcPr>
            <w:tcW w:w="2216" w:type="dxa"/>
            <w:gridSpan w:val="5"/>
            <w:tcBorders>
              <w:left w:val="single" w:color="auto" w:sz="4" w:space="0"/>
              <w:right w:val="single" w:color="auto" w:sz="4" w:space="0"/>
            </w:tcBorders>
            <w:vAlign w:val="center"/>
          </w:tcPr>
          <w:p>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绩效目标</w:t>
            </w:r>
          </w:p>
        </w:tc>
        <w:tc>
          <w:tcPr>
            <w:tcW w:w="2040" w:type="dxa"/>
            <w:gridSpan w:val="2"/>
            <w:tcBorders>
              <w:left w:val="single" w:color="auto" w:sz="4" w:space="0"/>
            </w:tcBorders>
            <w:vAlign w:val="center"/>
          </w:tcPr>
          <w:p>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完成情况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820" w:hRule="atLeast"/>
          <w:jc w:val="center"/>
        </w:trPr>
        <w:tc>
          <w:tcPr>
            <w:tcW w:w="1195" w:type="dxa"/>
            <w:vMerge w:val="continue"/>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998" w:type="dxa"/>
            <w:gridSpan w:val="3"/>
            <w:vMerge w:val="restart"/>
            <w:vAlign w:val="center"/>
          </w:tcPr>
          <w:p>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产出</w:t>
            </w:r>
          </w:p>
          <w:p>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目标</w:t>
            </w:r>
          </w:p>
          <w:p>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p>
        </w:tc>
        <w:tc>
          <w:tcPr>
            <w:tcW w:w="1053" w:type="dxa"/>
            <w:gridSpan w:val="2"/>
            <w:vMerge w:val="restart"/>
            <w:vAlign w:val="center"/>
          </w:tcPr>
          <w:p>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数量</w:t>
            </w:r>
          </w:p>
          <w:p>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指标</w:t>
            </w:r>
          </w:p>
          <w:p>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p>
        </w:tc>
        <w:tc>
          <w:tcPr>
            <w:tcW w:w="1778" w:type="dxa"/>
            <w:gridSpan w:val="3"/>
            <w:tcBorders>
              <w:right w:val="single" w:color="auto" w:sz="4" w:space="0"/>
            </w:tcBorders>
            <w:vAlign w:val="center"/>
          </w:tcPr>
          <w:p>
            <w:pPr>
              <w:tabs>
                <w:tab w:val="left" w:pos="0"/>
              </w:tabs>
              <w:autoSpaceDN w:val="0"/>
              <w:spacing w:line="320" w:lineRule="exact"/>
              <w:ind w:left="0" w:leftChars="0" w:right="166" w:rightChars="79" w:firstLine="0" w:firstLineChars="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指标1：全州规模工业增加值</w:t>
            </w:r>
          </w:p>
        </w:tc>
        <w:tc>
          <w:tcPr>
            <w:tcW w:w="2216" w:type="dxa"/>
            <w:gridSpan w:val="5"/>
            <w:tcBorders>
              <w:left w:val="single" w:color="auto" w:sz="4" w:space="0"/>
              <w:right w:val="single" w:color="auto" w:sz="4" w:space="0"/>
            </w:tcBorders>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同比</w:t>
            </w:r>
            <w:r>
              <w:rPr>
                <w:rFonts w:hint="eastAsia" w:ascii="宋体" w:hAnsi="宋体" w:eastAsia="宋体" w:cs="宋体"/>
                <w:color w:val="auto"/>
                <w:sz w:val="21"/>
                <w:szCs w:val="21"/>
                <w:lang w:val="en-US" w:eastAsia="zh-CN"/>
              </w:rPr>
              <w:t>增长8%</w:t>
            </w:r>
          </w:p>
        </w:tc>
        <w:tc>
          <w:tcPr>
            <w:tcW w:w="2040" w:type="dxa"/>
            <w:gridSpan w:val="2"/>
            <w:tcBorders>
              <w:left w:val="single" w:color="auto" w:sz="4" w:space="0"/>
            </w:tcBorders>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同比增长0.1%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995" w:hRule="atLeast"/>
          <w:jc w:val="center"/>
        </w:trPr>
        <w:tc>
          <w:tcPr>
            <w:tcW w:w="1195" w:type="dxa"/>
            <w:vMerge w:val="continue"/>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998" w:type="dxa"/>
            <w:gridSpan w:val="3"/>
            <w:vMerge w:val="continue"/>
            <w:vAlign w:val="center"/>
          </w:tcPr>
          <w:p>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p>
        </w:tc>
        <w:tc>
          <w:tcPr>
            <w:tcW w:w="1053" w:type="dxa"/>
            <w:gridSpan w:val="2"/>
            <w:vMerge w:val="continue"/>
            <w:vAlign w:val="center"/>
          </w:tcPr>
          <w:p>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p>
        </w:tc>
        <w:tc>
          <w:tcPr>
            <w:tcW w:w="1778" w:type="dxa"/>
            <w:gridSpan w:val="3"/>
            <w:tcBorders>
              <w:right w:val="single" w:color="auto" w:sz="4" w:space="0"/>
            </w:tcBorders>
            <w:vAlign w:val="center"/>
          </w:tcPr>
          <w:p>
            <w:pPr>
              <w:tabs>
                <w:tab w:val="left" w:pos="0"/>
              </w:tabs>
              <w:autoSpaceDN w:val="0"/>
              <w:spacing w:line="320" w:lineRule="exact"/>
              <w:ind w:left="0" w:leftChars="0" w:right="166" w:rightChars="79" w:firstLine="0" w:firstLineChars="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指标</w:t>
            </w:r>
            <w:r>
              <w:rPr>
                <w:rFonts w:hint="eastAsia" w:ascii="宋体" w:hAnsi="宋体" w:cs="宋体"/>
                <w:color w:val="auto"/>
                <w:sz w:val="21"/>
                <w:szCs w:val="21"/>
                <w:lang w:val="en-US" w:eastAsia="zh-CN"/>
              </w:rPr>
              <w:t>2</w:t>
            </w:r>
            <w:r>
              <w:rPr>
                <w:rFonts w:hint="eastAsia" w:ascii="宋体" w:hAnsi="宋体" w:eastAsia="宋体" w:cs="宋体"/>
                <w:color w:val="auto"/>
                <w:sz w:val="21"/>
                <w:szCs w:val="21"/>
                <w:lang w:val="en-US" w:eastAsia="zh-CN"/>
              </w:rPr>
              <w:t>：制造业占规模工业增加值的比重提高</w:t>
            </w:r>
          </w:p>
        </w:tc>
        <w:tc>
          <w:tcPr>
            <w:tcW w:w="2216" w:type="dxa"/>
            <w:gridSpan w:val="5"/>
            <w:tcBorders>
              <w:left w:val="single" w:color="auto" w:sz="4" w:space="0"/>
              <w:right w:val="single" w:color="auto" w:sz="4" w:space="0"/>
            </w:tcBorders>
            <w:vAlign w:val="center"/>
          </w:tcPr>
          <w:p>
            <w:pPr>
              <w:keepNext w:val="0"/>
              <w:keepLines w:val="0"/>
              <w:pageBreakBefore w:val="0"/>
              <w:kinsoku/>
              <w:wordWrap/>
              <w:overflowPunct/>
              <w:topLinePunct w:val="0"/>
              <w:autoSpaceDE/>
              <w:bidi w:val="0"/>
              <w:adjustRightInd/>
              <w:spacing w:line="480" w:lineRule="exact"/>
              <w:jc w:val="center"/>
              <w:rPr>
                <w:rFonts w:hint="default" w:asciiTheme="minorEastAsia" w:hAnsiTheme="minorEastAsia" w:eastAsiaTheme="minorEastAsia" w:cstheme="minorEastAsia"/>
                <w:b/>
                <w:color w:val="auto"/>
                <w:sz w:val="21"/>
                <w:szCs w:val="21"/>
                <w:highlight w:val="none"/>
                <w:lang w:val="en-US"/>
              </w:rPr>
            </w:pPr>
            <w:r>
              <w:rPr>
                <w:rFonts w:hint="eastAsia" w:ascii="宋体" w:hAnsi="宋体" w:cs="宋体"/>
                <w:color w:val="auto"/>
                <w:sz w:val="21"/>
                <w:szCs w:val="21"/>
                <w:lang w:val="en-US" w:eastAsia="zh-CN"/>
              </w:rPr>
              <w:t>3%</w:t>
            </w:r>
          </w:p>
        </w:tc>
        <w:tc>
          <w:tcPr>
            <w:tcW w:w="2040" w:type="dxa"/>
            <w:gridSpan w:val="2"/>
            <w:tcBorders>
              <w:left w:val="single" w:color="auto" w:sz="4" w:space="0"/>
            </w:tcBorders>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kern w:val="0"/>
                <w:sz w:val="21"/>
                <w:szCs w:val="21"/>
                <w:highlight w:val="none"/>
                <w:lang w:bidi="ar"/>
              </w:rPr>
            </w:pPr>
            <w:r>
              <w:rPr>
                <w:rFonts w:hint="eastAsia" w:ascii="宋体" w:hAnsi="宋体" w:cs="宋体"/>
                <w:color w:val="auto"/>
                <w:sz w:val="21"/>
                <w:szCs w:val="21"/>
                <w:lang w:val="en-US" w:eastAsia="zh-CN"/>
              </w:rPr>
              <w:t>比重17%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775" w:hRule="atLeast"/>
          <w:jc w:val="center"/>
        </w:trPr>
        <w:tc>
          <w:tcPr>
            <w:tcW w:w="1195" w:type="dxa"/>
            <w:vMerge w:val="continue"/>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998" w:type="dxa"/>
            <w:gridSpan w:val="3"/>
            <w:vMerge w:val="continue"/>
            <w:vAlign w:val="center"/>
          </w:tcPr>
          <w:p>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p>
        </w:tc>
        <w:tc>
          <w:tcPr>
            <w:tcW w:w="1053" w:type="dxa"/>
            <w:gridSpan w:val="2"/>
            <w:vMerge w:val="continue"/>
            <w:vAlign w:val="center"/>
          </w:tcPr>
          <w:p>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p>
        </w:tc>
        <w:tc>
          <w:tcPr>
            <w:tcW w:w="1778" w:type="dxa"/>
            <w:gridSpan w:val="3"/>
            <w:tcBorders>
              <w:right w:val="single" w:color="auto" w:sz="4" w:space="0"/>
            </w:tcBorders>
            <w:vAlign w:val="center"/>
          </w:tcPr>
          <w:p>
            <w:pPr>
              <w:tabs>
                <w:tab w:val="left" w:pos="0"/>
              </w:tabs>
              <w:autoSpaceDN w:val="0"/>
              <w:spacing w:line="320" w:lineRule="exact"/>
              <w:ind w:left="0" w:leftChars="0" w:right="166" w:rightChars="79" w:firstLine="0" w:firstLineChars="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指标</w:t>
            </w: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：工业投资及技改投资</w:t>
            </w:r>
          </w:p>
        </w:tc>
        <w:tc>
          <w:tcPr>
            <w:tcW w:w="2216" w:type="dxa"/>
            <w:gridSpan w:val="5"/>
            <w:tcBorders>
              <w:left w:val="single" w:color="auto" w:sz="4" w:space="0"/>
              <w:right w:val="single" w:color="auto" w:sz="4" w:space="0"/>
            </w:tcBorders>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b/>
                <w:color w:val="auto"/>
                <w:sz w:val="21"/>
                <w:szCs w:val="21"/>
                <w:highlight w:val="none"/>
              </w:rPr>
            </w:pPr>
            <w:r>
              <w:rPr>
                <w:rFonts w:hint="eastAsia" w:ascii="宋体" w:hAnsi="宋体" w:eastAsia="宋体" w:cs="宋体"/>
                <w:color w:val="auto"/>
                <w:sz w:val="21"/>
                <w:szCs w:val="21"/>
                <w:lang w:val="en-US" w:eastAsia="zh-CN"/>
              </w:rPr>
              <w:t>增长10%以上</w:t>
            </w:r>
          </w:p>
        </w:tc>
        <w:tc>
          <w:tcPr>
            <w:tcW w:w="2040" w:type="dxa"/>
            <w:gridSpan w:val="2"/>
            <w:tcBorders>
              <w:left w:val="single" w:color="auto" w:sz="4" w:space="0"/>
            </w:tcBorders>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增长10.1%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1085" w:hRule="atLeast"/>
          <w:jc w:val="center"/>
        </w:trPr>
        <w:tc>
          <w:tcPr>
            <w:tcW w:w="1195" w:type="dxa"/>
            <w:vMerge w:val="continue"/>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998" w:type="dxa"/>
            <w:gridSpan w:val="3"/>
            <w:vMerge w:val="continue"/>
            <w:vAlign w:val="center"/>
          </w:tcPr>
          <w:p>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p>
        </w:tc>
        <w:tc>
          <w:tcPr>
            <w:tcW w:w="1053" w:type="dxa"/>
            <w:gridSpan w:val="2"/>
            <w:vMerge w:val="continue"/>
            <w:tcBorders>
              <w:bottom w:val="single" w:color="auto" w:sz="4" w:space="0"/>
            </w:tcBorders>
            <w:vAlign w:val="center"/>
          </w:tcPr>
          <w:p>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p>
        </w:tc>
        <w:tc>
          <w:tcPr>
            <w:tcW w:w="1778" w:type="dxa"/>
            <w:gridSpan w:val="3"/>
            <w:tcBorders>
              <w:right w:val="single" w:color="auto" w:sz="4" w:space="0"/>
            </w:tcBorders>
            <w:vAlign w:val="center"/>
          </w:tcPr>
          <w:p>
            <w:pPr>
              <w:tabs>
                <w:tab w:val="left" w:pos="0"/>
              </w:tabs>
              <w:autoSpaceDN w:val="0"/>
              <w:spacing w:line="320" w:lineRule="exact"/>
              <w:ind w:left="0" w:leftChars="0" w:right="166" w:rightChars="79" w:firstLine="0" w:firstLineChars="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指标</w:t>
            </w:r>
            <w:r>
              <w:rPr>
                <w:rFonts w:hint="eastAsia" w:ascii="宋体" w:hAnsi="宋体" w:cs="宋体"/>
                <w:color w:val="auto"/>
                <w:sz w:val="21"/>
                <w:szCs w:val="21"/>
                <w:lang w:val="en-US" w:eastAsia="zh-CN"/>
              </w:rPr>
              <w:t>4</w:t>
            </w:r>
            <w:r>
              <w:rPr>
                <w:rFonts w:hint="eastAsia" w:ascii="宋体" w:hAnsi="宋体" w:eastAsia="宋体" w:cs="宋体"/>
                <w:color w:val="auto"/>
                <w:sz w:val="21"/>
                <w:szCs w:val="21"/>
                <w:lang w:val="en-US" w:eastAsia="zh-CN"/>
              </w:rPr>
              <w:t>：</w:t>
            </w:r>
            <w:r>
              <w:rPr>
                <w:rFonts w:hint="eastAsia"/>
                <w:color w:val="auto"/>
              </w:rPr>
              <w:t>招商项目的合同或协议投资额</w:t>
            </w:r>
            <w:r>
              <w:rPr>
                <w:rFonts w:hint="eastAsia"/>
                <w:color w:val="auto"/>
              </w:rPr>
              <w:tab/>
            </w:r>
          </w:p>
        </w:tc>
        <w:tc>
          <w:tcPr>
            <w:tcW w:w="2216" w:type="dxa"/>
            <w:gridSpan w:val="5"/>
            <w:tcBorders>
              <w:left w:val="single" w:color="auto" w:sz="4" w:space="0"/>
              <w:right w:val="single" w:color="auto" w:sz="4" w:space="0"/>
            </w:tcBorders>
            <w:vAlign w:val="center"/>
          </w:tcPr>
          <w:p>
            <w:pPr>
              <w:keepNext w:val="0"/>
              <w:keepLines w:val="0"/>
              <w:pageBreakBefore w:val="0"/>
              <w:kinsoku/>
              <w:wordWrap/>
              <w:overflowPunct/>
              <w:topLinePunct w:val="0"/>
              <w:autoSpaceDE/>
              <w:bidi w:val="0"/>
              <w:adjustRightInd/>
              <w:spacing w:line="480" w:lineRule="exact"/>
              <w:jc w:val="center"/>
              <w:rPr>
                <w:rFonts w:hint="eastAsia" w:ascii="宋体" w:hAnsi="宋体" w:eastAsia="宋体" w:cs="宋体"/>
                <w:color w:val="auto"/>
                <w:sz w:val="21"/>
                <w:szCs w:val="21"/>
                <w:lang w:val="en-US" w:eastAsia="zh-CN"/>
              </w:rPr>
            </w:pPr>
            <w:r>
              <w:rPr>
                <w:rFonts w:hint="eastAsia"/>
                <w:color w:val="auto"/>
              </w:rPr>
              <w:tab/>
            </w:r>
            <w:r>
              <w:rPr>
                <w:rFonts w:hint="eastAsia"/>
                <w:color w:val="auto"/>
              </w:rPr>
              <w:t>80亿元</w:t>
            </w:r>
          </w:p>
        </w:tc>
        <w:tc>
          <w:tcPr>
            <w:tcW w:w="2040" w:type="dxa"/>
            <w:gridSpan w:val="2"/>
            <w:tcBorders>
              <w:left w:val="single" w:color="auto" w:sz="4" w:space="0"/>
            </w:tcBorders>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kern w:val="0"/>
                <w:sz w:val="21"/>
                <w:szCs w:val="21"/>
                <w:highlight w:val="none"/>
                <w:lang w:bidi="ar"/>
              </w:rPr>
            </w:pPr>
            <w:r>
              <w:rPr>
                <w:rFonts w:hint="eastAsia"/>
                <w:color w:val="auto"/>
              </w:rPr>
              <w:tab/>
            </w:r>
            <w:r>
              <w:rPr>
                <w:rFonts w:hint="eastAsia"/>
                <w:color w:val="auto"/>
              </w:rPr>
              <w:t>102</w:t>
            </w:r>
            <w:r>
              <w:rPr>
                <w:rFonts w:hint="eastAsia"/>
                <w:color w:val="auto"/>
                <w:lang w:val="en-US" w:eastAsia="zh-CN"/>
              </w:rPr>
              <w:t>.</w:t>
            </w:r>
            <w:r>
              <w:rPr>
                <w:rFonts w:hint="eastAsia"/>
                <w:color w:val="auto"/>
              </w:rPr>
              <w:t>55亿元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80" w:hRule="atLeast"/>
          <w:jc w:val="center"/>
        </w:trPr>
        <w:tc>
          <w:tcPr>
            <w:tcW w:w="1195" w:type="dxa"/>
            <w:vMerge w:val="continue"/>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998" w:type="dxa"/>
            <w:gridSpan w:val="3"/>
            <w:vMerge w:val="continue"/>
            <w:vAlign w:val="center"/>
          </w:tcPr>
          <w:p>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p>
        </w:tc>
        <w:tc>
          <w:tcPr>
            <w:tcW w:w="1053" w:type="dxa"/>
            <w:gridSpan w:val="2"/>
            <w:vMerge w:val="restart"/>
            <w:tcBorders>
              <w:top w:val="single" w:color="auto" w:sz="4" w:space="0"/>
            </w:tcBorders>
            <w:vAlign w:val="center"/>
          </w:tcPr>
          <w:p>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成本</w:t>
            </w:r>
          </w:p>
          <w:p>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指标</w:t>
            </w:r>
          </w:p>
        </w:tc>
        <w:tc>
          <w:tcPr>
            <w:tcW w:w="1778" w:type="dxa"/>
            <w:gridSpan w:val="3"/>
            <w:tcBorders>
              <w:right w:val="single" w:color="auto" w:sz="4" w:space="0"/>
            </w:tcBorders>
            <w:vAlign w:val="center"/>
          </w:tcPr>
          <w:p>
            <w:pPr>
              <w:tabs>
                <w:tab w:val="left" w:pos="0"/>
              </w:tabs>
              <w:autoSpaceDN w:val="0"/>
              <w:spacing w:line="320" w:lineRule="exact"/>
              <w:ind w:left="0" w:leftChars="0" w:right="166" w:rightChars="79" w:firstLine="0" w:firstLineChars="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指标</w:t>
            </w:r>
            <w:r>
              <w:rPr>
                <w:rFonts w:hint="eastAsia" w:ascii="宋体" w:hAnsi="宋体" w:cs="宋体"/>
                <w:color w:val="auto"/>
                <w:sz w:val="21"/>
                <w:szCs w:val="21"/>
                <w:lang w:val="en-US" w:eastAsia="zh-CN"/>
              </w:rPr>
              <w:t>5</w:t>
            </w:r>
            <w:r>
              <w:rPr>
                <w:rFonts w:hint="eastAsia" w:ascii="宋体" w:hAnsi="宋体" w:eastAsia="宋体" w:cs="宋体"/>
                <w:color w:val="auto"/>
                <w:sz w:val="21"/>
                <w:szCs w:val="21"/>
                <w:lang w:val="en-US" w:eastAsia="zh-CN"/>
              </w:rPr>
              <w:t>：预算执行率</w:t>
            </w:r>
          </w:p>
        </w:tc>
        <w:tc>
          <w:tcPr>
            <w:tcW w:w="2216" w:type="dxa"/>
            <w:gridSpan w:val="5"/>
            <w:tcBorders>
              <w:left w:val="single" w:color="auto" w:sz="4" w:space="0"/>
              <w:right w:val="single" w:color="auto" w:sz="4" w:space="0"/>
            </w:tcBorders>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100%</w:t>
            </w:r>
          </w:p>
        </w:tc>
        <w:tc>
          <w:tcPr>
            <w:tcW w:w="2040" w:type="dxa"/>
            <w:gridSpan w:val="2"/>
            <w:tcBorders>
              <w:left w:val="single" w:color="auto" w:sz="4" w:space="0"/>
            </w:tcBorders>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80" w:hRule="atLeast"/>
          <w:jc w:val="center"/>
        </w:trPr>
        <w:tc>
          <w:tcPr>
            <w:tcW w:w="1195" w:type="dxa"/>
            <w:vMerge w:val="continue"/>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998" w:type="dxa"/>
            <w:gridSpan w:val="3"/>
            <w:vMerge w:val="continue"/>
            <w:vAlign w:val="center"/>
          </w:tcPr>
          <w:p>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p>
        </w:tc>
        <w:tc>
          <w:tcPr>
            <w:tcW w:w="1053" w:type="dxa"/>
            <w:gridSpan w:val="2"/>
            <w:vMerge w:val="continue"/>
            <w:vAlign w:val="center"/>
          </w:tcPr>
          <w:p>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p>
        </w:tc>
        <w:tc>
          <w:tcPr>
            <w:tcW w:w="1778" w:type="dxa"/>
            <w:gridSpan w:val="3"/>
            <w:tcBorders>
              <w:right w:val="single" w:color="auto" w:sz="4" w:space="0"/>
            </w:tcBorders>
            <w:vAlign w:val="center"/>
          </w:tcPr>
          <w:p>
            <w:pPr>
              <w:tabs>
                <w:tab w:val="left" w:pos="0"/>
              </w:tabs>
              <w:autoSpaceDN w:val="0"/>
              <w:spacing w:line="320" w:lineRule="exact"/>
              <w:ind w:left="0" w:leftChars="0" w:right="166" w:rightChars="79" w:firstLine="0" w:firstLineChars="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指标</w:t>
            </w:r>
            <w:r>
              <w:rPr>
                <w:rFonts w:hint="eastAsia" w:ascii="宋体" w:hAnsi="宋体" w:cs="宋体"/>
                <w:color w:val="auto"/>
                <w:sz w:val="21"/>
                <w:szCs w:val="21"/>
                <w:lang w:val="en-US" w:eastAsia="zh-CN"/>
              </w:rPr>
              <w:t>6</w:t>
            </w:r>
            <w:r>
              <w:rPr>
                <w:rFonts w:hint="eastAsia" w:ascii="宋体" w:hAnsi="宋体" w:eastAsia="宋体" w:cs="宋体"/>
                <w:color w:val="auto"/>
                <w:sz w:val="21"/>
                <w:szCs w:val="21"/>
                <w:lang w:val="en-US" w:eastAsia="zh-CN"/>
              </w:rPr>
              <w:t>：政府采购执行率</w:t>
            </w:r>
          </w:p>
        </w:tc>
        <w:tc>
          <w:tcPr>
            <w:tcW w:w="2216" w:type="dxa"/>
            <w:gridSpan w:val="5"/>
            <w:tcBorders>
              <w:left w:val="single" w:color="auto" w:sz="4" w:space="0"/>
              <w:right w:val="single" w:color="auto" w:sz="4" w:space="0"/>
            </w:tcBorders>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100%</w:t>
            </w:r>
          </w:p>
        </w:tc>
        <w:tc>
          <w:tcPr>
            <w:tcW w:w="2040" w:type="dxa"/>
            <w:gridSpan w:val="2"/>
            <w:tcBorders>
              <w:left w:val="single" w:color="auto" w:sz="4" w:space="0"/>
            </w:tcBorders>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39.90%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424" w:hRule="atLeast"/>
          <w:jc w:val="center"/>
        </w:trPr>
        <w:tc>
          <w:tcPr>
            <w:tcW w:w="1195" w:type="dxa"/>
            <w:vMerge w:val="continue"/>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998" w:type="dxa"/>
            <w:gridSpan w:val="3"/>
            <w:vMerge w:val="continue"/>
            <w:vAlign w:val="center"/>
          </w:tcPr>
          <w:p>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p>
        </w:tc>
        <w:tc>
          <w:tcPr>
            <w:tcW w:w="1053" w:type="dxa"/>
            <w:gridSpan w:val="2"/>
            <w:vMerge w:val="continue"/>
            <w:tcBorders>
              <w:bottom w:val="single" w:color="auto" w:sz="4" w:space="0"/>
            </w:tcBorders>
            <w:vAlign w:val="center"/>
          </w:tcPr>
          <w:p>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p>
        </w:tc>
        <w:tc>
          <w:tcPr>
            <w:tcW w:w="1778" w:type="dxa"/>
            <w:gridSpan w:val="3"/>
            <w:tcBorders>
              <w:right w:val="single" w:color="auto" w:sz="4" w:space="0"/>
            </w:tcBorders>
            <w:vAlign w:val="center"/>
          </w:tcPr>
          <w:p>
            <w:pPr>
              <w:tabs>
                <w:tab w:val="left" w:pos="0"/>
              </w:tabs>
              <w:autoSpaceDN w:val="0"/>
              <w:spacing w:line="320" w:lineRule="exact"/>
              <w:ind w:left="0" w:leftChars="0" w:right="166" w:rightChars="79" w:firstLine="0" w:firstLineChars="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指标</w:t>
            </w:r>
            <w:r>
              <w:rPr>
                <w:rFonts w:hint="eastAsia" w:ascii="宋体" w:hAnsi="宋体" w:cs="宋体"/>
                <w:color w:val="auto"/>
                <w:sz w:val="21"/>
                <w:szCs w:val="21"/>
                <w:lang w:val="en-US" w:eastAsia="zh-CN"/>
              </w:rPr>
              <w:t>7</w:t>
            </w:r>
            <w:r>
              <w:rPr>
                <w:rFonts w:hint="eastAsia" w:ascii="宋体" w:hAnsi="宋体" w:eastAsia="宋体" w:cs="宋体"/>
                <w:color w:val="auto"/>
                <w:sz w:val="21"/>
                <w:szCs w:val="21"/>
                <w:lang w:val="en-US" w:eastAsia="zh-CN"/>
              </w:rPr>
              <w:t>：“三公经费”控制率</w:t>
            </w:r>
          </w:p>
        </w:tc>
        <w:tc>
          <w:tcPr>
            <w:tcW w:w="2216" w:type="dxa"/>
            <w:gridSpan w:val="5"/>
            <w:tcBorders>
              <w:left w:val="single" w:color="auto" w:sz="4" w:space="0"/>
              <w:right w:val="single" w:color="auto" w:sz="4" w:space="0"/>
            </w:tcBorders>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100%</w:t>
            </w:r>
          </w:p>
        </w:tc>
        <w:tc>
          <w:tcPr>
            <w:tcW w:w="2040" w:type="dxa"/>
            <w:gridSpan w:val="2"/>
            <w:tcBorders>
              <w:left w:val="single" w:color="auto" w:sz="4" w:space="0"/>
            </w:tcBorders>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37.84%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829" w:hRule="atLeast"/>
          <w:jc w:val="center"/>
        </w:trPr>
        <w:tc>
          <w:tcPr>
            <w:tcW w:w="1195" w:type="dxa"/>
            <w:vMerge w:val="continue"/>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998" w:type="dxa"/>
            <w:gridSpan w:val="3"/>
            <w:vMerge w:val="continue"/>
            <w:vAlign w:val="center"/>
          </w:tcPr>
          <w:p>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p>
        </w:tc>
        <w:tc>
          <w:tcPr>
            <w:tcW w:w="1053" w:type="dxa"/>
            <w:gridSpan w:val="2"/>
            <w:tcBorders>
              <w:top w:val="single" w:color="auto" w:sz="4" w:space="0"/>
              <w:bottom w:val="single" w:color="auto" w:sz="4" w:space="0"/>
            </w:tcBorders>
            <w:vAlign w:val="center"/>
          </w:tcPr>
          <w:p>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质量</w:t>
            </w:r>
          </w:p>
          <w:p>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指标</w:t>
            </w:r>
          </w:p>
        </w:tc>
        <w:tc>
          <w:tcPr>
            <w:tcW w:w="1778" w:type="dxa"/>
            <w:gridSpan w:val="3"/>
            <w:tcBorders>
              <w:right w:val="single" w:color="auto" w:sz="4" w:space="0"/>
            </w:tcBorders>
            <w:vAlign w:val="center"/>
          </w:tcPr>
          <w:p>
            <w:pPr>
              <w:tabs>
                <w:tab w:val="left" w:pos="0"/>
              </w:tabs>
              <w:autoSpaceDN w:val="0"/>
              <w:spacing w:line="320" w:lineRule="exact"/>
              <w:ind w:left="0" w:leftChars="0" w:right="166" w:rightChars="79" w:firstLine="0" w:firstLineChars="0"/>
              <w:jc w:val="left"/>
              <w:textAlignment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指标</w:t>
            </w:r>
            <w:r>
              <w:rPr>
                <w:rFonts w:hint="eastAsia" w:ascii="宋体" w:hAnsi="宋体" w:cs="宋体"/>
                <w:color w:val="auto"/>
                <w:sz w:val="21"/>
                <w:szCs w:val="21"/>
                <w:lang w:val="en-US" w:eastAsia="zh-CN"/>
              </w:rPr>
              <w:t>8</w:t>
            </w:r>
            <w:r>
              <w:rPr>
                <w:rFonts w:hint="eastAsia" w:ascii="宋体" w:hAnsi="宋体" w:eastAsia="宋体" w:cs="宋体"/>
                <w:color w:val="auto"/>
                <w:sz w:val="21"/>
                <w:szCs w:val="21"/>
                <w:lang w:val="en-US" w:eastAsia="zh-CN"/>
              </w:rPr>
              <w:t>：预算执行合规性</w:t>
            </w:r>
          </w:p>
        </w:tc>
        <w:tc>
          <w:tcPr>
            <w:tcW w:w="2216" w:type="dxa"/>
            <w:gridSpan w:val="5"/>
            <w:tcBorders>
              <w:left w:val="single" w:color="auto" w:sz="4" w:space="0"/>
              <w:right w:val="single" w:color="auto" w:sz="4" w:space="0"/>
            </w:tcBorders>
            <w:vAlign w:val="center"/>
          </w:tcPr>
          <w:p>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合规</w:t>
            </w:r>
          </w:p>
        </w:tc>
        <w:tc>
          <w:tcPr>
            <w:tcW w:w="2040" w:type="dxa"/>
            <w:gridSpan w:val="2"/>
            <w:tcBorders>
              <w:left w:val="single" w:color="auto" w:sz="4" w:space="0"/>
            </w:tcBorders>
            <w:vAlign w:val="center"/>
          </w:tcPr>
          <w:p>
            <w:pPr>
              <w:tabs>
                <w:tab w:val="left" w:pos="0"/>
              </w:tabs>
              <w:autoSpaceDN w:val="0"/>
              <w:spacing w:line="320" w:lineRule="exact"/>
              <w:ind w:left="0" w:leftChars="0" w:right="166" w:rightChars="79" w:firstLine="0" w:firstLineChars="0"/>
              <w:jc w:val="center"/>
              <w:textAlignment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全面合规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829" w:hRule="atLeast"/>
          <w:jc w:val="center"/>
        </w:trPr>
        <w:tc>
          <w:tcPr>
            <w:tcW w:w="1195" w:type="dxa"/>
            <w:vMerge w:val="continue"/>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998" w:type="dxa"/>
            <w:gridSpan w:val="3"/>
            <w:vMerge w:val="continue"/>
            <w:vAlign w:val="center"/>
          </w:tcPr>
          <w:p>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p>
        </w:tc>
        <w:tc>
          <w:tcPr>
            <w:tcW w:w="1053" w:type="dxa"/>
            <w:gridSpan w:val="2"/>
            <w:tcBorders>
              <w:top w:val="single" w:color="auto" w:sz="4" w:space="0"/>
            </w:tcBorders>
            <w:vAlign w:val="center"/>
          </w:tcPr>
          <w:p>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时效</w:t>
            </w:r>
          </w:p>
          <w:p>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指标</w:t>
            </w:r>
          </w:p>
        </w:tc>
        <w:tc>
          <w:tcPr>
            <w:tcW w:w="1778" w:type="dxa"/>
            <w:gridSpan w:val="3"/>
            <w:tcBorders>
              <w:right w:val="single" w:color="auto" w:sz="4" w:space="0"/>
            </w:tcBorders>
            <w:vAlign w:val="center"/>
          </w:tcPr>
          <w:p>
            <w:pPr>
              <w:tabs>
                <w:tab w:val="left" w:pos="0"/>
              </w:tabs>
              <w:autoSpaceDN w:val="0"/>
              <w:spacing w:line="320" w:lineRule="exact"/>
              <w:ind w:left="0" w:leftChars="0" w:right="166" w:rightChars="79" w:firstLine="0" w:firstLineChars="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指标</w:t>
            </w:r>
            <w:r>
              <w:rPr>
                <w:rFonts w:hint="eastAsia" w:ascii="宋体" w:hAnsi="宋体" w:cs="宋体"/>
                <w:color w:val="auto"/>
                <w:sz w:val="21"/>
                <w:szCs w:val="21"/>
                <w:lang w:val="en-US" w:eastAsia="zh-CN"/>
              </w:rPr>
              <w:t>4</w:t>
            </w:r>
            <w:r>
              <w:rPr>
                <w:rFonts w:hint="eastAsia" w:ascii="宋体" w:hAnsi="宋体" w:eastAsia="宋体" w:cs="宋体"/>
                <w:color w:val="auto"/>
                <w:sz w:val="21"/>
                <w:szCs w:val="21"/>
                <w:lang w:val="en-US" w:eastAsia="zh-CN"/>
              </w:rPr>
              <w:t>：重点工作完成</w:t>
            </w:r>
            <w:r>
              <w:rPr>
                <w:rFonts w:hint="eastAsia" w:ascii="宋体" w:hAnsi="宋体" w:cs="宋体"/>
                <w:color w:val="auto"/>
                <w:sz w:val="21"/>
                <w:szCs w:val="21"/>
                <w:lang w:val="en-US" w:eastAsia="zh-CN"/>
              </w:rPr>
              <w:t>及时</w:t>
            </w:r>
            <w:r>
              <w:rPr>
                <w:rFonts w:hint="eastAsia" w:ascii="宋体" w:hAnsi="宋体" w:eastAsia="宋体" w:cs="宋体"/>
                <w:color w:val="auto"/>
                <w:sz w:val="21"/>
                <w:szCs w:val="21"/>
                <w:lang w:val="en-US" w:eastAsia="zh-CN"/>
              </w:rPr>
              <w:t>率</w:t>
            </w:r>
          </w:p>
        </w:tc>
        <w:tc>
          <w:tcPr>
            <w:tcW w:w="2216" w:type="dxa"/>
            <w:gridSpan w:val="5"/>
            <w:tcBorders>
              <w:left w:val="single" w:color="auto" w:sz="4" w:space="0"/>
              <w:right w:val="single" w:color="auto" w:sz="4" w:space="0"/>
            </w:tcBorders>
            <w:vAlign w:val="center"/>
          </w:tcPr>
          <w:p>
            <w:pPr>
              <w:keepNext w:val="0"/>
              <w:keepLines w:val="0"/>
              <w:pageBreakBefore w:val="0"/>
              <w:kinsoku/>
              <w:wordWrap/>
              <w:overflowPunct/>
              <w:topLinePunct w:val="0"/>
              <w:autoSpaceDE/>
              <w:bidi w:val="0"/>
              <w:adjustRightInd/>
              <w:spacing w:line="48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及时完成</w:t>
            </w:r>
          </w:p>
        </w:tc>
        <w:tc>
          <w:tcPr>
            <w:tcW w:w="2040" w:type="dxa"/>
            <w:gridSpan w:val="2"/>
            <w:tcBorders>
              <w:left w:val="single" w:color="auto" w:sz="4" w:space="0"/>
            </w:tcBorders>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及时完成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1544" w:hRule="atLeast"/>
          <w:jc w:val="center"/>
        </w:trPr>
        <w:tc>
          <w:tcPr>
            <w:tcW w:w="1195" w:type="dxa"/>
            <w:vMerge w:val="continue"/>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998" w:type="dxa"/>
            <w:gridSpan w:val="3"/>
            <w:vMerge w:val="restart"/>
            <w:vAlign w:val="center"/>
          </w:tcPr>
          <w:p>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效益</w:t>
            </w:r>
          </w:p>
          <w:p>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目标</w:t>
            </w:r>
          </w:p>
          <w:p>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p>
        </w:tc>
        <w:tc>
          <w:tcPr>
            <w:tcW w:w="1053" w:type="dxa"/>
            <w:gridSpan w:val="2"/>
            <w:vAlign w:val="center"/>
          </w:tcPr>
          <w:p>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社会</w:t>
            </w:r>
          </w:p>
          <w:p>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效益</w:t>
            </w:r>
          </w:p>
        </w:tc>
        <w:tc>
          <w:tcPr>
            <w:tcW w:w="1778" w:type="dxa"/>
            <w:gridSpan w:val="3"/>
            <w:tcBorders>
              <w:right w:val="single" w:color="auto" w:sz="4" w:space="0"/>
            </w:tcBorders>
            <w:vAlign w:val="center"/>
          </w:tcPr>
          <w:p>
            <w:pPr>
              <w:tabs>
                <w:tab w:val="left" w:pos="0"/>
              </w:tabs>
              <w:autoSpaceDN w:val="0"/>
              <w:spacing w:line="320" w:lineRule="exact"/>
              <w:ind w:left="0" w:leftChars="0" w:right="166" w:rightChars="79" w:firstLine="0" w:firstLineChars="0"/>
              <w:jc w:val="both"/>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清偿拖欠企业账款</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有效减轻企业负担</w:t>
            </w:r>
          </w:p>
        </w:tc>
        <w:tc>
          <w:tcPr>
            <w:tcW w:w="2216" w:type="dxa"/>
            <w:gridSpan w:val="5"/>
            <w:tcBorders>
              <w:left w:val="single" w:color="auto" w:sz="4" w:space="0"/>
              <w:right w:val="single" w:color="auto" w:sz="4" w:space="0"/>
            </w:tcBorders>
            <w:vAlign w:val="center"/>
          </w:tcPr>
          <w:p>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欠款清偿率达100%</w:t>
            </w:r>
          </w:p>
        </w:tc>
        <w:tc>
          <w:tcPr>
            <w:tcW w:w="2040" w:type="dxa"/>
            <w:gridSpan w:val="2"/>
            <w:tcBorders>
              <w:left w:val="single" w:color="auto" w:sz="4" w:space="0"/>
            </w:tcBorders>
            <w:vAlign w:val="center"/>
          </w:tcPr>
          <w:p>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全州累计清偿拖欠企业账款总额3678.58万元，纳入清欠平台的2021年结转欠款和2022年新增欠款全部清零，欠款清偿率达到100%，有效减轻了企业负担。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1052" w:hRule="atLeast"/>
          <w:jc w:val="center"/>
        </w:trPr>
        <w:tc>
          <w:tcPr>
            <w:tcW w:w="1195" w:type="dxa"/>
            <w:vMerge w:val="continue"/>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998" w:type="dxa"/>
            <w:gridSpan w:val="3"/>
            <w:vMerge w:val="continue"/>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tc>
        <w:tc>
          <w:tcPr>
            <w:tcW w:w="1053" w:type="dxa"/>
            <w:gridSpan w:val="2"/>
            <w:vAlign w:val="center"/>
          </w:tcPr>
          <w:p>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经济</w:t>
            </w:r>
          </w:p>
          <w:p>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效益</w:t>
            </w:r>
          </w:p>
        </w:tc>
        <w:tc>
          <w:tcPr>
            <w:tcW w:w="1778" w:type="dxa"/>
            <w:gridSpan w:val="3"/>
            <w:tcBorders>
              <w:right w:val="single" w:color="auto" w:sz="4" w:space="0"/>
            </w:tcBorders>
            <w:vAlign w:val="center"/>
          </w:tcPr>
          <w:p>
            <w:pPr>
              <w:tabs>
                <w:tab w:val="left" w:pos="0"/>
              </w:tabs>
              <w:autoSpaceDN w:val="0"/>
              <w:spacing w:line="320" w:lineRule="exact"/>
              <w:ind w:right="166" w:rightChars="79" w:firstLine="210" w:firstLineChars="100"/>
              <w:jc w:val="both"/>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工业经济平稳增长，为全州经济社会发展提供强有力支撑</w:t>
            </w:r>
          </w:p>
        </w:tc>
        <w:tc>
          <w:tcPr>
            <w:tcW w:w="2216" w:type="dxa"/>
            <w:gridSpan w:val="5"/>
            <w:tcBorders>
              <w:left w:val="single" w:color="auto" w:sz="4" w:space="0"/>
              <w:right w:val="single" w:color="auto" w:sz="4" w:space="0"/>
            </w:tcBorders>
            <w:vAlign w:val="center"/>
          </w:tcPr>
          <w:p>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全州工业经济实现平稳增长</w:t>
            </w:r>
            <w:r>
              <w:rPr>
                <w:rFonts w:hint="eastAsia" w:ascii="宋体" w:hAnsi="宋体" w:cs="宋体"/>
                <w:color w:val="auto"/>
                <w:sz w:val="21"/>
                <w:szCs w:val="21"/>
                <w:lang w:val="en-US" w:eastAsia="zh-CN"/>
              </w:rPr>
              <w:t>；</w:t>
            </w:r>
          </w:p>
        </w:tc>
        <w:tc>
          <w:tcPr>
            <w:tcW w:w="2040" w:type="dxa"/>
            <w:gridSpan w:val="2"/>
            <w:tcBorders>
              <w:left w:val="single" w:color="auto" w:sz="4" w:space="0"/>
            </w:tcBorders>
            <w:vAlign w:val="center"/>
          </w:tcPr>
          <w:p>
            <w:pPr>
              <w:tabs>
                <w:tab w:val="left" w:pos="0"/>
              </w:tabs>
              <w:autoSpaceDN w:val="0"/>
              <w:spacing w:line="320" w:lineRule="exact"/>
              <w:ind w:left="0" w:leftChars="0" w:right="166" w:rightChars="79" w:firstLine="210" w:firstLineChars="100"/>
              <w:jc w:val="both"/>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规模工业增加值同比增长0.1%</w:t>
            </w:r>
            <w:r>
              <w:rPr>
                <w:rFonts w:hint="eastAsia" w:ascii="宋体" w:hAnsi="宋体" w:cs="宋体"/>
                <w:color w:val="auto"/>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511" w:hRule="atLeast"/>
          <w:jc w:val="center"/>
        </w:trPr>
        <w:tc>
          <w:tcPr>
            <w:tcW w:w="1195" w:type="dxa"/>
            <w:vMerge w:val="continue"/>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998" w:type="dxa"/>
            <w:gridSpan w:val="3"/>
            <w:vMerge w:val="continue"/>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tc>
        <w:tc>
          <w:tcPr>
            <w:tcW w:w="1053" w:type="dxa"/>
            <w:gridSpan w:val="2"/>
            <w:vMerge w:val="restart"/>
            <w:vAlign w:val="center"/>
          </w:tcPr>
          <w:p>
            <w:pPr>
              <w:tabs>
                <w:tab w:val="left" w:pos="0"/>
              </w:tabs>
              <w:autoSpaceDN w:val="0"/>
              <w:spacing w:line="320" w:lineRule="exact"/>
              <w:ind w:left="0" w:leftChars="0" w:right="166" w:rightChars="79" w:firstLine="0" w:firstLineChars="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社会公众或服务对象满意度</w:t>
            </w:r>
          </w:p>
        </w:tc>
        <w:tc>
          <w:tcPr>
            <w:tcW w:w="1778" w:type="dxa"/>
            <w:gridSpan w:val="3"/>
            <w:tcBorders>
              <w:right w:val="single" w:color="auto" w:sz="4" w:space="0"/>
            </w:tcBorders>
            <w:vAlign w:val="center"/>
          </w:tcPr>
          <w:p>
            <w:pPr>
              <w:tabs>
                <w:tab w:val="left" w:pos="0"/>
              </w:tabs>
              <w:autoSpaceDN w:val="0"/>
              <w:spacing w:line="320" w:lineRule="exact"/>
              <w:ind w:left="0" w:leftChars="0" w:right="166" w:rightChars="79" w:firstLine="0" w:firstLineChars="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指标1：服务对象满意度</w:t>
            </w:r>
          </w:p>
        </w:tc>
        <w:tc>
          <w:tcPr>
            <w:tcW w:w="2216" w:type="dxa"/>
            <w:gridSpan w:val="5"/>
            <w:tcBorders>
              <w:left w:val="single" w:color="auto" w:sz="4" w:space="0"/>
              <w:right w:val="single" w:color="auto" w:sz="4" w:space="0"/>
            </w:tcBorders>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b/>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w:t>
            </w:r>
            <w:r>
              <w:rPr>
                <w:rFonts w:hint="eastAsia" w:asciiTheme="minorEastAsia" w:hAnsiTheme="minorEastAsia" w:eastAsiaTheme="minorEastAsia" w:cstheme="minorEastAsia"/>
                <w:color w:val="auto"/>
                <w:sz w:val="21"/>
                <w:szCs w:val="21"/>
                <w:highlight w:val="none"/>
              </w:rPr>
              <w:t>9</w:t>
            </w:r>
            <w:r>
              <w:rPr>
                <w:rFonts w:hint="eastAsia" w:asciiTheme="minorEastAsia" w:hAnsiTheme="minorEastAsia" w:eastAsia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rPr>
              <w:t>%</w:t>
            </w:r>
          </w:p>
        </w:tc>
        <w:tc>
          <w:tcPr>
            <w:tcW w:w="2040" w:type="dxa"/>
            <w:gridSpan w:val="2"/>
            <w:tcBorders>
              <w:left w:val="single" w:color="auto" w:sz="4" w:space="0"/>
            </w:tcBorders>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sz w:val="21"/>
                <w:szCs w:val="21"/>
                <w:highlight w:val="none"/>
              </w:rPr>
              <w:t>9</w:t>
            </w:r>
            <w:r>
              <w:rPr>
                <w:rFonts w:hint="eastAsia" w:asciiTheme="minorEastAsia" w:hAnsiTheme="minorEastAsia" w:eastAsiaTheme="minorEastAsia" w:cstheme="minorEastAsia"/>
                <w:color w:val="auto"/>
                <w:sz w:val="21"/>
                <w:szCs w:val="21"/>
                <w:highlight w:val="none"/>
                <w:lang w:val="en-US" w:eastAsia="zh-CN"/>
              </w:rPr>
              <w:t>6</w:t>
            </w:r>
            <w:r>
              <w:rPr>
                <w:rFonts w:hint="eastAsia" w:asciiTheme="minorEastAsia" w:hAnsiTheme="minorEastAsia" w:eastAsiaTheme="minorEastAsia" w:cstheme="minorEastAsia"/>
                <w:color w:val="auto"/>
                <w:sz w:val="21"/>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511" w:hRule="atLeast"/>
          <w:jc w:val="center"/>
        </w:trPr>
        <w:tc>
          <w:tcPr>
            <w:tcW w:w="1195" w:type="dxa"/>
            <w:vMerge w:val="continue"/>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998" w:type="dxa"/>
            <w:gridSpan w:val="3"/>
            <w:vMerge w:val="continue"/>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tc>
        <w:tc>
          <w:tcPr>
            <w:tcW w:w="1053" w:type="dxa"/>
            <w:gridSpan w:val="2"/>
            <w:vMerge w:val="continue"/>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tc>
        <w:tc>
          <w:tcPr>
            <w:tcW w:w="1778" w:type="dxa"/>
            <w:gridSpan w:val="3"/>
            <w:tcBorders>
              <w:right w:val="single" w:color="auto" w:sz="4" w:space="0"/>
            </w:tcBorders>
            <w:vAlign w:val="center"/>
          </w:tcPr>
          <w:p>
            <w:pPr>
              <w:tabs>
                <w:tab w:val="left" w:pos="0"/>
              </w:tabs>
              <w:autoSpaceDN w:val="0"/>
              <w:spacing w:line="320" w:lineRule="exact"/>
              <w:ind w:left="0" w:leftChars="0" w:right="166" w:rightChars="79" w:firstLine="0" w:firstLineChars="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指标2：社会群众满意度</w:t>
            </w:r>
          </w:p>
        </w:tc>
        <w:tc>
          <w:tcPr>
            <w:tcW w:w="2216" w:type="dxa"/>
            <w:gridSpan w:val="5"/>
            <w:tcBorders>
              <w:left w:val="single" w:color="auto" w:sz="4" w:space="0"/>
              <w:right w:val="single" w:color="auto" w:sz="4" w:space="0"/>
            </w:tcBorders>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w:t>
            </w:r>
            <w:r>
              <w:rPr>
                <w:rFonts w:hint="eastAsia" w:asciiTheme="minorEastAsia" w:hAnsiTheme="minorEastAsia" w:eastAsiaTheme="minorEastAsia" w:cstheme="minorEastAsia"/>
                <w:color w:val="auto"/>
                <w:sz w:val="21"/>
                <w:szCs w:val="21"/>
                <w:highlight w:val="none"/>
              </w:rPr>
              <w:t>9</w:t>
            </w:r>
            <w:r>
              <w:rPr>
                <w:rFonts w:hint="eastAsia" w:asciiTheme="minorEastAsia" w:hAnsiTheme="minorEastAsia" w:eastAsia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rPr>
              <w:t>%</w:t>
            </w:r>
          </w:p>
        </w:tc>
        <w:tc>
          <w:tcPr>
            <w:tcW w:w="2040" w:type="dxa"/>
            <w:gridSpan w:val="2"/>
            <w:tcBorders>
              <w:left w:val="single" w:color="auto" w:sz="4" w:space="0"/>
            </w:tcBorders>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sz w:val="21"/>
                <w:szCs w:val="21"/>
                <w:highlight w:val="none"/>
              </w:rPr>
              <w:t>9</w:t>
            </w:r>
            <w:r>
              <w:rPr>
                <w:rFonts w:hint="eastAsia" w:asciiTheme="minorEastAsia" w:hAnsiTheme="minorEastAsia" w:eastAsia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511" w:hRule="atLeast"/>
          <w:jc w:val="center"/>
        </w:trPr>
        <w:tc>
          <w:tcPr>
            <w:tcW w:w="1195" w:type="dxa"/>
            <w:vMerge w:val="continue"/>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998" w:type="dxa"/>
            <w:gridSpan w:val="3"/>
            <w:vMerge w:val="continue"/>
            <w:vAlign w:val="center"/>
          </w:tcPr>
          <w:p>
            <w:pPr>
              <w:keepNext w:val="0"/>
              <w:keepLines w:val="0"/>
              <w:pageBreakBefore w:val="0"/>
              <w:kinsoku/>
              <w:wordWrap/>
              <w:overflowPunct/>
              <w:topLinePunct w:val="0"/>
              <w:autoSpaceDE/>
              <w:autoSpaceDN w:val="0"/>
              <w:bidi w:val="0"/>
              <w:adjustRightInd/>
              <w:spacing w:line="480" w:lineRule="exact"/>
              <w:jc w:val="center"/>
              <w:rPr>
                <w:rFonts w:hint="eastAsia" w:asciiTheme="minorEastAsia" w:hAnsiTheme="minorEastAsia" w:eastAsiaTheme="minorEastAsia" w:cstheme="minorEastAsia"/>
                <w:color w:val="auto"/>
                <w:sz w:val="21"/>
                <w:szCs w:val="21"/>
                <w:highlight w:val="none"/>
              </w:rPr>
            </w:pPr>
          </w:p>
        </w:tc>
        <w:tc>
          <w:tcPr>
            <w:tcW w:w="1053" w:type="dxa"/>
            <w:gridSpan w:val="2"/>
            <w:vMerge w:val="continue"/>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tc>
        <w:tc>
          <w:tcPr>
            <w:tcW w:w="1778" w:type="dxa"/>
            <w:gridSpan w:val="3"/>
            <w:tcBorders>
              <w:right w:val="single" w:color="auto" w:sz="4" w:space="0"/>
            </w:tcBorders>
            <w:vAlign w:val="center"/>
          </w:tcPr>
          <w:p>
            <w:pPr>
              <w:tabs>
                <w:tab w:val="left" w:pos="0"/>
              </w:tabs>
              <w:autoSpaceDN w:val="0"/>
              <w:spacing w:line="320" w:lineRule="exact"/>
              <w:ind w:left="0" w:leftChars="0" w:right="166" w:rightChars="79" w:firstLine="0" w:firstLineChars="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指标3：部门内部员工满意度</w:t>
            </w:r>
          </w:p>
        </w:tc>
        <w:tc>
          <w:tcPr>
            <w:tcW w:w="2216" w:type="dxa"/>
            <w:gridSpan w:val="5"/>
            <w:tcBorders>
              <w:left w:val="single" w:color="auto" w:sz="4" w:space="0"/>
              <w:right w:val="single" w:color="auto" w:sz="4" w:space="0"/>
            </w:tcBorders>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w:t>
            </w:r>
            <w:r>
              <w:rPr>
                <w:rFonts w:hint="eastAsia" w:asciiTheme="minorEastAsia" w:hAnsiTheme="minorEastAsia" w:eastAsiaTheme="minorEastAsia" w:cstheme="minorEastAsia"/>
                <w:color w:val="auto"/>
                <w:sz w:val="21"/>
                <w:szCs w:val="21"/>
                <w:highlight w:val="none"/>
              </w:rPr>
              <w:t>9</w:t>
            </w:r>
            <w:r>
              <w:rPr>
                <w:rFonts w:hint="eastAsia" w:asciiTheme="minorEastAsia" w:hAnsiTheme="minorEastAsia" w:eastAsia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rPr>
              <w:t>%</w:t>
            </w:r>
          </w:p>
        </w:tc>
        <w:tc>
          <w:tcPr>
            <w:tcW w:w="2040" w:type="dxa"/>
            <w:gridSpan w:val="2"/>
            <w:tcBorders>
              <w:left w:val="single" w:color="auto" w:sz="4" w:space="0"/>
            </w:tcBorders>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sz w:val="21"/>
                <w:szCs w:val="21"/>
                <w:highlight w:val="none"/>
              </w:rPr>
              <w:t>9</w:t>
            </w:r>
            <w:r>
              <w:rPr>
                <w:rFonts w:hint="eastAsia" w:asciiTheme="minorEastAsia" w:hAnsiTheme="minorEastAsia" w:eastAsia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75" w:hRule="atLeast"/>
          <w:jc w:val="center"/>
        </w:trPr>
        <w:tc>
          <w:tcPr>
            <w:tcW w:w="2193" w:type="dxa"/>
            <w:gridSpan w:val="4"/>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绩效自评综合得分</w:t>
            </w:r>
          </w:p>
        </w:tc>
        <w:tc>
          <w:tcPr>
            <w:tcW w:w="7087" w:type="dxa"/>
            <w:gridSpan w:val="1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评分：</w:t>
            </w:r>
            <w:r>
              <w:rPr>
                <w:rFonts w:hint="eastAsia" w:asciiTheme="minorEastAsia" w:hAnsiTheme="minorEastAsia" w:eastAsiaTheme="minorEastAsia" w:cstheme="minorEastAsia"/>
                <w:color w:val="auto"/>
                <w:sz w:val="21"/>
                <w:szCs w:val="21"/>
                <w:highlight w:val="none"/>
                <w:lang w:val="en-US" w:eastAsia="zh-CN"/>
              </w:rPr>
              <w:t>9</w:t>
            </w:r>
            <w:r>
              <w:rPr>
                <w:rFonts w:hint="default" w:asciiTheme="minorEastAsia" w:hAnsiTheme="minorEastAsia" w:eastAsia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lang w:val="en-US" w:eastAsia="zh-CN"/>
              </w:rPr>
              <w:t>.99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33" w:hRule="atLeast"/>
          <w:jc w:val="center"/>
        </w:trPr>
        <w:tc>
          <w:tcPr>
            <w:tcW w:w="2193" w:type="dxa"/>
            <w:gridSpan w:val="4"/>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评价等次</w:t>
            </w:r>
          </w:p>
        </w:tc>
        <w:tc>
          <w:tcPr>
            <w:tcW w:w="7087" w:type="dxa"/>
            <w:gridSpan w:val="12"/>
            <w:vAlign w:val="center"/>
          </w:tcPr>
          <w:p>
            <w:pPr>
              <w:keepNext w:val="0"/>
              <w:keepLines w:val="0"/>
              <w:pageBreakBefore w:val="0"/>
              <w:kinsoku/>
              <w:wordWrap/>
              <w:overflowPunct/>
              <w:topLinePunct w:val="0"/>
              <w:autoSpaceDE/>
              <w:bidi w:val="0"/>
              <w:adjustRightInd/>
              <w:spacing w:line="48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等级：优</w:t>
            </w:r>
          </w:p>
          <w:p>
            <w:pPr>
              <w:keepNext w:val="0"/>
              <w:keepLines w:val="0"/>
              <w:pageBreakBefore w:val="0"/>
              <w:kinsoku/>
              <w:wordWrap/>
              <w:overflowPunct/>
              <w:topLinePunct w:val="0"/>
              <w:autoSpaceDE/>
              <w:autoSpaceDN w:val="0"/>
              <w:bidi w:val="0"/>
              <w:adjustRightInd/>
              <w:spacing w:line="480" w:lineRule="exact"/>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备注：90（含）—100分为优；80（含）—90分为良； 60（含）—80 分为较差；60分以下为差。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63" w:hRule="atLeast"/>
          <w:jc w:val="center"/>
        </w:trPr>
        <w:tc>
          <w:tcPr>
            <w:tcW w:w="9280" w:type="dxa"/>
            <w:gridSpan w:val="16"/>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四、评价人员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21" w:hRule="atLeast"/>
          <w:jc w:val="center"/>
        </w:trPr>
        <w:tc>
          <w:tcPr>
            <w:tcW w:w="1371"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姓  名</w:t>
            </w:r>
          </w:p>
        </w:tc>
        <w:tc>
          <w:tcPr>
            <w:tcW w:w="2732" w:type="dxa"/>
            <w:gridSpan w:val="6"/>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职务/职称</w:t>
            </w:r>
          </w:p>
        </w:tc>
        <w:tc>
          <w:tcPr>
            <w:tcW w:w="2860" w:type="dxa"/>
            <w:gridSpan w:val="4"/>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单  位</w:t>
            </w:r>
          </w:p>
        </w:tc>
        <w:tc>
          <w:tcPr>
            <w:tcW w:w="2317" w:type="dxa"/>
            <w:gridSpan w:val="4"/>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签  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33" w:hRule="atLeast"/>
          <w:jc w:val="center"/>
        </w:trPr>
        <w:tc>
          <w:tcPr>
            <w:tcW w:w="1371"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吴廷梓</w:t>
            </w:r>
          </w:p>
        </w:tc>
        <w:tc>
          <w:tcPr>
            <w:tcW w:w="2732" w:type="dxa"/>
            <w:gridSpan w:val="6"/>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党组成员.副</w:t>
            </w:r>
            <w:r>
              <w:rPr>
                <w:rFonts w:hint="eastAsia" w:asciiTheme="minorEastAsia" w:hAnsiTheme="minorEastAsia" w:eastAsiaTheme="minorEastAsia" w:cstheme="minorEastAsia"/>
                <w:color w:val="auto"/>
                <w:sz w:val="21"/>
                <w:szCs w:val="21"/>
                <w:highlight w:val="none"/>
              </w:rPr>
              <w:t>局长</w:t>
            </w:r>
          </w:p>
        </w:tc>
        <w:tc>
          <w:tcPr>
            <w:tcW w:w="2860" w:type="dxa"/>
            <w:gridSpan w:val="4"/>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湘西自治州工业和信息化局</w:t>
            </w:r>
          </w:p>
        </w:tc>
        <w:tc>
          <w:tcPr>
            <w:tcW w:w="2317" w:type="dxa"/>
            <w:gridSpan w:val="4"/>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33" w:hRule="atLeast"/>
          <w:jc w:val="center"/>
        </w:trPr>
        <w:tc>
          <w:tcPr>
            <w:tcW w:w="1371"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田春华</w:t>
            </w:r>
          </w:p>
        </w:tc>
        <w:tc>
          <w:tcPr>
            <w:tcW w:w="2732" w:type="dxa"/>
            <w:gridSpan w:val="6"/>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财务</w:t>
            </w:r>
            <w:r>
              <w:rPr>
                <w:rFonts w:hint="eastAsia" w:asciiTheme="minorEastAsia" w:hAnsiTheme="minorEastAsia" w:eastAsiaTheme="minorEastAsia" w:cstheme="minorEastAsia"/>
                <w:color w:val="auto"/>
                <w:sz w:val="21"/>
                <w:szCs w:val="21"/>
                <w:highlight w:val="none"/>
                <w:lang w:val="en-US" w:eastAsia="zh-CN"/>
              </w:rPr>
              <w:t>资产科</w:t>
            </w:r>
            <w:r>
              <w:rPr>
                <w:rFonts w:hint="eastAsia" w:asciiTheme="minorEastAsia" w:hAnsiTheme="minorEastAsia" w:eastAsiaTheme="minorEastAsia" w:cstheme="minorEastAsia"/>
                <w:color w:val="auto"/>
                <w:sz w:val="21"/>
                <w:szCs w:val="21"/>
                <w:highlight w:val="none"/>
              </w:rPr>
              <w:t>科长</w:t>
            </w:r>
          </w:p>
        </w:tc>
        <w:tc>
          <w:tcPr>
            <w:tcW w:w="2860" w:type="dxa"/>
            <w:gridSpan w:val="4"/>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湘西自治州工业和信息化局</w:t>
            </w:r>
          </w:p>
        </w:tc>
        <w:tc>
          <w:tcPr>
            <w:tcW w:w="2317" w:type="dxa"/>
            <w:gridSpan w:val="4"/>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33" w:hRule="atLeast"/>
          <w:jc w:val="center"/>
        </w:trPr>
        <w:tc>
          <w:tcPr>
            <w:tcW w:w="1371"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杨</w:t>
            </w: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rPr>
              <w:t>琛</w:t>
            </w:r>
          </w:p>
        </w:tc>
        <w:tc>
          <w:tcPr>
            <w:tcW w:w="2732" w:type="dxa"/>
            <w:gridSpan w:val="6"/>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财务</w:t>
            </w:r>
            <w:r>
              <w:rPr>
                <w:rFonts w:hint="eastAsia" w:asciiTheme="minorEastAsia" w:hAnsiTheme="minorEastAsia" w:eastAsiaTheme="minorEastAsia" w:cstheme="minorEastAsia"/>
                <w:color w:val="auto"/>
                <w:sz w:val="21"/>
                <w:szCs w:val="21"/>
                <w:highlight w:val="none"/>
                <w:lang w:val="en-US" w:eastAsia="zh-CN"/>
              </w:rPr>
              <w:t>科副</w:t>
            </w:r>
            <w:r>
              <w:rPr>
                <w:rFonts w:hint="eastAsia" w:asciiTheme="minorEastAsia" w:hAnsiTheme="minorEastAsia" w:eastAsiaTheme="minorEastAsia" w:cstheme="minorEastAsia"/>
                <w:color w:val="auto"/>
                <w:sz w:val="21"/>
                <w:szCs w:val="21"/>
                <w:highlight w:val="none"/>
              </w:rPr>
              <w:t>科长</w:t>
            </w:r>
          </w:p>
        </w:tc>
        <w:tc>
          <w:tcPr>
            <w:tcW w:w="2860" w:type="dxa"/>
            <w:gridSpan w:val="4"/>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湘西自治州工业和信息化局</w:t>
            </w:r>
          </w:p>
        </w:tc>
        <w:tc>
          <w:tcPr>
            <w:tcW w:w="2317" w:type="dxa"/>
            <w:gridSpan w:val="4"/>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33" w:hRule="atLeast"/>
          <w:jc w:val="center"/>
        </w:trPr>
        <w:tc>
          <w:tcPr>
            <w:tcW w:w="1371"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黄连秀</w:t>
            </w:r>
          </w:p>
        </w:tc>
        <w:tc>
          <w:tcPr>
            <w:tcW w:w="2732" w:type="dxa"/>
            <w:gridSpan w:val="6"/>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tc>
        <w:tc>
          <w:tcPr>
            <w:tcW w:w="2860" w:type="dxa"/>
            <w:gridSpan w:val="4"/>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湘西自治州工业和信息化局</w:t>
            </w:r>
          </w:p>
        </w:tc>
        <w:tc>
          <w:tcPr>
            <w:tcW w:w="2317" w:type="dxa"/>
            <w:gridSpan w:val="4"/>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633" w:hRule="atLeast"/>
          <w:jc w:val="center"/>
        </w:trPr>
        <w:tc>
          <w:tcPr>
            <w:tcW w:w="1371" w:type="dxa"/>
            <w:gridSpan w:val="2"/>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余  烨</w:t>
            </w:r>
          </w:p>
        </w:tc>
        <w:tc>
          <w:tcPr>
            <w:tcW w:w="2732" w:type="dxa"/>
            <w:gridSpan w:val="6"/>
            <w:tcBorders>
              <w:righ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tc>
        <w:tc>
          <w:tcPr>
            <w:tcW w:w="2860" w:type="dxa"/>
            <w:gridSpan w:val="4"/>
            <w:tcBorders>
              <w:left w:val="single" w:color="auto" w:sz="4" w:space="0"/>
            </w:tcBorders>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湘西自治州工业和信息化局</w:t>
            </w:r>
          </w:p>
        </w:tc>
        <w:tc>
          <w:tcPr>
            <w:tcW w:w="2317" w:type="dxa"/>
            <w:gridSpan w:val="4"/>
            <w:vAlign w:val="center"/>
          </w:tcPr>
          <w:p>
            <w:pPr>
              <w:keepNext w:val="0"/>
              <w:keepLines w:val="0"/>
              <w:pageBreakBefore w:val="0"/>
              <w:kinsoku/>
              <w:wordWrap/>
              <w:overflowPunct/>
              <w:topLinePunct w:val="0"/>
              <w:autoSpaceDE/>
              <w:autoSpaceDN w:val="0"/>
              <w:bidi w:val="0"/>
              <w:adjustRightInd/>
              <w:spacing w:line="480" w:lineRule="exact"/>
              <w:jc w:val="center"/>
              <w:textAlignment w:val="center"/>
              <w:rPr>
                <w:rFonts w:hint="eastAsia" w:asciiTheme="minorEastAsia" w:hAnsiTheme="minorEastAsia" w:eastAsiaTheme="minorEastAsia" w:cstheme="minorEastAsia"/>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1890" w:hRule="atLeast"/>
          <w:jc w:val="center"/>
        </w:trPr>
        <w:tc>
          <w:tcPr>
            <w:tcW w:w="9280" w:type="dxa"/>
            <w:gridSpan w:val="16"/>
            <w:vAlign w:val="center"/>
          </w:tcPr>
          <w:p>
            <w:pPr>
              <w:keepNext w:val="0"/>
              <w:keepLines w:val="0"/>
              <w:pageBreakBefore w:val="0"/>
              <w:kinsoku/>
              <w:wordWrap/>
              <w:overflowPunct/>
              <w:topLinePunct w:val="0"/>
              <w:autoSpaceDE/>
              <w:autoSpaceDN w:val="0"/>
              <w:bidi w:val="0"/>
              <w:adjustRightInd/>
              <w:spacing w:line="480" w:lineRule="exact"/>
              <w:jc w:val="left"/>
              <w:textAlignment w:val="center"/>
              <w:rPr>
                <w:rFonts w:hint="eastAsia" w:asciiTheme="minorEastAsia" w:hAnsiTheme="minorEastAsia" w:eastAsiaTheme="minorEastAsia" w:cstheme="minorEastAsia"/>
                <w:color w:val="auto"/>
                <w:sz w:val="21"/>
                <w:szCs w:val="21"/>
                <w:highlight w:val="none"/>
              </w:rPr>
            </w:pPr>
          </w:p>
          <w:p>
            <w:pPr>
              <w:keepNext w:val="0"/>
              <w:keepLines w:val="0"/>
              <w:pageBreakBefore w:val="0"/>
              <w:kinsoku/>
              <w:wordWrap/>
              <w:overflowPunct/>
              <w:topLinePunct w:val="0"/>
              <w:autoSpaceDE/>
              <w:autoSpaceDN w:val="0"/>
              <w:bidi w:val="0"/>
              <w:adjustRightInd/>
              <w:spacing w:line="480" w:lineRule="exact"/>
              <w:ind w:firstLine="210" w:firstLineChars="100"/>
              <w:jc w:val="left"/>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评价组组长签署意见：</w:t>
            </w:r>
          </w:p>
          <w:p>
            <w:pPr>
              <w:keepNext w:val="0"/>
              <w:keepLines w:val="0"/>
              <w:pageBreakBefore w:val="0"/>
              <w:kinsoku/>
              <w:wordWrap/>
              <w:overflowPunct/>
              <w:topLinePunct w:val="0"/>
              <w:autoSpaceDE/>
              <w:autoSpaceDN w:val="0"/>
              <w:bidi w:val="0"/>
              <w:adjustRightInd/>
              <w:spacing w:line="480" w:lineRule="exact"/>
              <w:jc w:val="left"/>
              <w:textAlignment w:val="center"/>
              <w:rPr>
                <w:rFonts w:hint="eastAsia" w:asciiTheme="minorEastAsia" w:hAnsiTheme="minorEastAsia" w:eastAsiaTheme="minorEastAsia" w:cstheme="minorEastAsia"/>
                <w:color w:val="auto"/>
                <w:sz w:val="21"/>
                <w:szCs w:val="21"/>
                <w:highlight w:val="none"/>
              </w:rPr>
            </w:pPr>
          </w:p>
          <w:p>
            <w:pPr>
              <w:keepNext w:val="0"/>
              <w:keepLines w:val="0"/>
              <w:pageBreakBefore w:val="0"/>
              <w:kinsoku/>
              <w:wordWrap/>
              <w:overflowPunct/>
              <w:topLinePunct w:val="0"/>
              <w:autoSpaceDE/>
              <w:autoSpaceDN w:val="0"/>
              <w:bidi w:val="0"/>
              <w:adjustRightInd/>
              <w:spacing w:line="480" w:lineRule="exact"/>
              <w:jc w:val="left"/>
              <w:textAlignment w:val="center"/>
              <w:rPr>
                <w:rFonts w:hint="eastAsia" w:asciiTheme="minorEastAsia" w:hAnsiTheme="minorEastAsia" w:eastAsiaTheme="minorEastAsia" w:cstheme="minorEastAsia"/>
                <w:color w:val="auto"/>
                <w:sz w:val="21"/>
                <w:szCs w:val="21"/>
                <w:highlight w:val="none"/>
              </w:rPr>
            </w:pPr>
          </w:p>
          <w:p>
            <w:pPr>
              <w:keepNext w:val="0"/>
              <w:keepLines w:val="0"/>
              <w:pageBreakBefore w:val="0"/>
              <w:kinsoku/>
              <w:wordWrap/>
              <w:overflowPunct/>
              <w:topLinePunct w:val="0"/>
              <w:autoSpaceDE/>
              <w:autoSpaceDN w:val="0"/>
              <w:bidi w:val="0"/>
              <w:adjustRightInd/>
              <w:spacing w:line="480" w:lineRule="exact"/>
              <w:ind w:firstLine="4620" w:firstLineChars="2200"/>
              <w:jc w:val="left"/>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评价组组长（签字）：</w:t>
            </w:r>
          </w:p>
          <w:p>
            <w:pPr>
              <w:keepNext w:val="0"/>
              <w:keepLines w:val="0"/>
              <w:pageBreakBefore w:val="0"/>
              <w:kinsoku/>
              <w:wordWrap/>
              <w:overflowPunct/>
              <w:topLinePunct w:val="0"/>
              <w:autoSpaceDE/>
              <w:autoSpaceDN w:val="0"/>
              <w:bidi w:val="0"/>
              <w:adjustRightInd/>
              <w:spacing w:line="480" w:lineRule="exact"/>
              <w:jc w:val="left"/>
              <w:textAlignment w:val="center"/>
              <w:rPr>
                <w:rFonts w:hint="eastAsia" w:asciiTheme="minorEastAsia" w:hAnsiTheme="minorEastAsia" w:eastAsiaTheme="minorEastAsia" w:cstheme="minorEastAsia"/>
                <w:color w:val="auto"/>
                <w:sz w:val="21"/>
                <w:szCs w:val="21"/>
                <w:highlight w:val="none"/>
              </w:rPr>
            </w:pPr>
          </w:p>
          <w:p>
            <w:pPr>
              <w:keepNext w:val="0"/>
              <w:keepLines w:val="0"/>
              <w:pageBreakBefore w:val="0"/>
              <w:kinsoku/>
              <w:wordWrap/>
              <w:overflowPunct/>
              <w:topLinePunct w:val="0"/>
              <w:autoSpaceDE/>
              <w:autoSpaceDN w:val="0"/>
              <w:bidi w:val="0"/>
              <w:adjustRightInd/>
              <w:spacing w:line="480" w:lineRule="exact"/>
              <w:jc w:val="left"/>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1890" w:hRule="atLeast"/>
          <w:jc w:val="center"/>
        </w:trPr>
        <w:tc>
          <w:tcPr>
            <w:tcW w:w="9280" w:type="dxa"/>
            <w:gridSpan w:val="16"/>
            <w:vAlign w:val="center"/>
          </w:tcPr>
          <w:p>
            <w:pPr>
              <w:keepNext w:val="0"/>
              <w:keepLines w:val="0"/>
              <w:pageBreakBefore w:val="0"/>
              <w:kinsoku/>
              <w:wordWrap/>
              <w:overflowPunct/>
              <w:topLinePunct w:val="0"/>
              <w:autoSpaceDE/>
              <w:autoSpaceDN w:val="0"/>
              <w:bidi w:val="0"/>
              <w:adjustRightInd/>
              <w:spacing w:line="480" w:lineRule="exact"/>
              <w:ind w:firstLine="210" w:firstLineChars="100"/>
              <w:jc w:val="left"/>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部门（单位）意见：</w:t>
            </w:r>
          </w:p>
          <w:p>
            <w:pPr>
              <w:keepNext w:val="0"/>
              <w:keepLines w:val="0"/>
              <w:pageBreakBefore w:val="0"/>
              <w:kinsoku/>
              <w:wordWrap/>
              <w:overflowPunct/>
              <w:topLinePunct w:val="0"/>
              <w:autoSpaceDE/>
              <w:autoSpaceDN w:val="0"/>
              <w:bidi w:val="0"/>
              <w:adjustRightInd/>
              <w:spacing w:line="480" w:lineRule="exact"/>
              <w:jc w:val="left"/>
              <w:textAlignment w:val="center"/>
              <w:rPr>
                <w:rFonts w:hint="eastAsia" w:asciiTheme="minorEastAsia" w:hAnsiTheme="minorEastAsia" w:eastAsiaTheme="minorEastAsia" w:cstheme="minorEastAsia"/>
                <w:color w:val="auto"/>
                <w:sz w:val="21"/>
                <w:szCs w:val="21"/>
                <w:highlight w:val="none"/>
              </w:rPr>
            </w:pPr>
          </w:p>
          <w:p>
            <w:pPr>
              <w:keepNext w:val="0"/>
              <w:keepLines w:val="0"/>
              <w:pageBreakBefore w:val="0"/>
              <w:kinsoku/>
              <w:wordWrap/>
              <w:overflowPunct/>
              <w:topLinePunct w:val="0"/>
              <w:autoSpaceDE/>
              <w:autoSpaceDN w:val="0"/>
              <w:bidi w:val="0"/>
              <w:adjustRightInd/>
              <w:spacing w:line="480" w:lineRule="exact"/>
              <w:jc w:val="left"/>
              <w:textAlignment w:val="center"/>
              <w:rPr>
                <w:rFonts w:hint="eastAsia" w:asciiTheme="minorEastAsia" w:hAnsiTheme="minorEastAsia" w:eastAsiaTheme="minorEastAsia" w:cstheme="minorEastAsia"/>
                <w:color w:val="auto"/>
                <w:sz w:val="21"/>
                <w:szCs w:val="21"/>
                <w:highlight w:val="none"/>
              </w:rPr>
            </w:pPr>
          </w:p>
          <w:p>
            <w:pPr>
              <w:keepNext w:val="0"/>
              <w:keepLines w:val="0"/>
              <w:pageBreakBefore w:val="0"/>
              <w:kinsoku/>
              <w:wordWrap/>
              <w:overflowPunct/>
              <w:topLinePunct w:val="0"/>
              <w:autoSpaceDE/>
              <w:autoSpaceDN w:val="0"/>
              <w:bidi w:val="0"/>
              <w:adjustRightInd/>
              <w:spacing w:line="480" w:lineRule="exact"/>
              <w:jc w:val="left"/>
              <w:textAlignment w:val="center"/>
              <w:rPr>
                <w:rFonts w:hint="eastAsia" w:asciiTheme="minorEastAsia" w:hAnsiTheme="minorEastAsia" w:eastAsiaTheme="minorEastAsia" w:cstheme="minorEastAsia"/>
                <w:color w:val="auto"/>
                <w:sz w:val="21"/>
                <w:szCs w:val="21"/>
                <w:highlight w:val="none"/>
              </w:rPr>
            </w:pPr>
          </w:p>
          <w:p>
            <w:pPr>
              <w:keepNext w:val="0"/>
              <w:keepLines w:val="0"/>
              <w:pageBreakBefore w:val="0"/>
              <w:kinsoku/>
              <w:wordWrap/>
              <w:overflowPunct/>
              <w:topLinePunct w:val="0"/>
              <w:autoSpaceDE/>
              <w:autoSpaceDN w:val="0"/>
              <w:bidi w:val="0"/>
              <w:adjustRightInd/>
              <w:spacing w:line="480" w:lineRule="exact"/>
              <w:jc w:val="left"/>
              <w:textAlignment w:val="center"/>
              <w:rPr>
                <w:rFonts w:hint="eastAsia" w:asciiTheme="minorEastAsia" w:hAnsiTheme="minorEastAsia" w:eastAsiaTheme="minorEastAsia" w:cstheme="minorEastAsia"/>
                <w:color w:val="auto"/>
                <w:sz w:val="21"/>
                <w:szCs w:val="21"/>
                <w:highlight w:val="none"/>
              </w:rPr>
            </w:pPr>
          </w:p>
          <w:p>
            <w:pPr>
              <w:keepNext w:val="0"/>
              <w:keepLines w:val="0"/>
              <w:pageBreakBefore w:val="0"/>
              <w:kinsoku/>
              <w:wordWrap/>
              <w:overflowPunct/>
              <w:topLinePunct w:val="0"/>
              <w:autoSpaceDE/>
              <w:autoSpaceDN w:val="0"/>
              <w:bidi w:val="0"/>
              <w:adjustRightInd/>
              <w:spacing w:line="480" w:lineRule="exact"/>
              <w:jc w:val="left"/>
              <w:textAlignment w:val="center"/>
              <w:rPr>
                <w:rFonts w:hint="eastAsia" w:asciiTheme="minorEastAsia" w:hAnsiTheme="minorEastAsia" w:eastAsiaTheme="minorEastAsia" w:cstheme="minorEastAsia"/>
                <w:color w:val="auto"/>
                <w:sz w:val="21"/>
                <w:szCs w:val="21"/>
                <w:highlight w:val="none"/>
              </w:rPr>
            </w:pPr>
          </w:p>
          <w:p>
            <w:pPr>
              <w:keepNext w:val="0"/>
              <w:keepLines w:val="0"/>
              <w:pageBreakBefore w:val="0"/>
              <w:kinsoku/>
              <w:wordWrap/>
              <w:overflowPunct/>
              <w:topLinePunct w:val="0"/>
              <w:autoSpaceDE/>
              <w:autoSpaceDN w:val="0"/>
              <w:bidi w:val="0"/>
              <w:adjustRightInd/>
              <w:spacing w:line="480" w:lineRule="exact"/>
              <w:ind w:firstLine="210" w:firstLineChars="100"/>
              <w:jc w:val="left"/>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部门（单位）负责人（签字）：             部门（单位）（盖章）：</w:t>
            </w:r>
          </w:p>
          <w:p>
            <w:pPr>
              <w:keepNext w:val="0"/>
              <w:keepLines w:val="0"/>
              <w:pageBreakBefore w:val="0"/>
              <w:kinsoku/>
              <w:wordWrap/>
              <w:overflowPunct/>
              <w:topLinePunct w:val="0"/>
              <w:autoSpaceDE/>
              <w:autoSpaceDN w:val="0"/>
              <w:bidi w:val="0"/>
              <w:adjustRightInd/>
              <w:spacing w:line="480" w:lineRule="exact"/>
              <w:jc w:val="left"/>
              <w:textAlignment w:val="center"/>
              <w:rPr>
                <w:rFonts w:hint="eastAsia" w:asciiTheme="minorEastAsia" w:hAnsiTheme="minorEastAsia" w:eastAsiaTheme="minorEastAsia" w:cstheme="minorEastAsia"/>
                <w:color w:val="auto"/>
                <w:sz w:val="21"/>
                <w:szCs w:val="21"/>
                <w:highlight w:val="none"/>
              </w:rPr>
            </w:pPr>
          </w:p>
          <w:p>
            <w:pPr>
              <w:keepNext w:val="0"/>
              <w:keepLines w:val="0"/>
              <w:pageBreakBefore w:val="0"/>
              <w:kinsoku/>
              <w:wordWrap/>
              <w:overflowPunct/>
              <w:topLinePunct w:val="0"/>
              <w:autoSpaceDE/>
              <w:autoSpaceDN w:val="0"/>
              <w:bidi w:val="0"/>
              <w:adjustRightInd/>
              <w:spacing w:line="480" w:lineRule="exact"/>
              <w:jc w:val="left"/>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5" w:type="dxa"/>
            <w:bottom w:w="0" w:type="dxa"/>
            <w:right w:w="15" w:type="dxa"/>
          </w:tblCellMar>
        </w:tblPrEx>
        <w:trPr>
          <w:trHeight w:val="2103" w:hRule="atLeast"/>
          <w:jc w:val="center"/>
        </w:trPr>
        <w:tc>
          <w:tcPr>
            <w:tcW w:w="9280" w:type="dxa"/>
            <w:gridSpan w:val="16"/>
            <w:vAlign w:val="center"/>
          </w:tcPr>
          <w:p>
            <w:pPr>
              <w:keepNext w:val="0"/>
              <w:keepLines w:val="0"/>
              <w:pageBreakBefore w:val="0"/>
              <w:kinsoku/>
              <w:wordWrap/>
              <w:overflowPunct/>
              <w:topLinePunct w:val="0"/>
              <w:autoSpaceDE/>
              <w:bidi w:val="0"/>
              <w:adjustRightInd/>
              <w:spacing w:line="480" w:lineRule="exact"/>
              <w:ind w:firstLine="210" w:firstLineChars="1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财政部门归口业务科室意见：</w:t>
            </w:r>
          </w:p>
          <w:p>
            <w:pPr>
              <w:keepNext w:val="0"/>
              <w:keepLines w:val="0"/>
              <w:pageBreakBefore w:val="0"/>
              <w:kinsoku/>
              <w:wordWrap/>
              <w:overflowPunct/>
              <w:topLinePunct w:val="0"/>
              <w:autoSpaceDE/>
              <w:bidi w:val="0"/>
              <w:adjustRightInd/>
              <w:spacing w:line="480" w:lineRule="exact"/>
              <w:rPr>
                <w:rFonts w:hint="eastAsia" w:asciiTheme="minorEastAsia" w:hAnsiTheme="minorEastAsia" w:eastAsiaTheme="minorEastAsia" w:cstheme="minorEastAsia"/>
                <w:color w:val="auto"/>
                <w:sz w:val="21"/>
                <w:szCs w:val="21"/>
                <w:highlight w:val="none"/>
              </w:rPr>
            </w:pPr>
          </w:p>
          <w:p>
            <w:pPr>
              <w:keepNext w:val="0"/>
              <w:keepLines w:val="0"/>
              <w:pageBreakBefore w:val="0"/>
              <w:kinsoku/>
              <w:wordWrap/>
              <w:overflowPunct/>
              <w:topLinePunct w:val="0"/>
              <w:autoSpaceDE/>
              <w:bidi w:val="0"/>
              <w:adjustRightInd/>
              <w:spacing w:line="480" w:lineRule="exact"/>
              <w:rPr>
                <w:rFonts w:hint="eastAsia" w:asciiTheme="minorEastAsia" w:hAnsiTheme="minorEastAsia" w:eastAsiaTheme="minorEastAsia" w:cstheme="minorEastAsia"/>
                <w:color w:val="auto"/>
                <w:sz w:val="21"/>
                <w:szCs w:val="21"/>
                <w:highlight w:val="none"/>
              </w:rPr>
            </w:pPr>
          </w:p>
          <w:p>
            <w:pPr>
              <w:keepNext w:val="0"/>
              <w:keepLines w:val="0"/>
              <w:pageBreakBefore w:val="0"/>
              <w:kinsoku/>
              <w:wordWrap/>
              <w:overflowPunct/>
              <w:topLinePunct w:val="0"/>
              <w:autoSpaceDE/>
              <w:bidi w:val="0"/>
              <w:adjustRightInd/>
              <w:spacing w:line="480" w:lineRule="exact"/>
              <w:rPr>
                <w:rFonts w:hint="eastAsia" w:asciiTheme="minorEastAsia" w:hAnsiTheme="minorEastAsia" w:eastAsiaTheme="minorEastAsia" w:cstheme="minorEastAsia"/>
                <w:color w:val="auto"/>
                <w:sz w:val="21"/>
                <w:szCs w:val="21"/>
                <w:highlight w:val="none"/>
              </w:rPr>
            </w:pPr>
          </w:p>
          <w:p>
            <w:pPr>
              <w:keepNext w:val="0"/>
              <w:keepLines w:val="0"/>
              <w:pageBreakBefore w:val="0"/>
              <w:kinsoku/>
              <w:wordWrap/>
              <w:overflowPunct/>
              <w:topLinePunct w:val="0"/>
              <w:autoSpaceDE/>
              <w:bidi w:val="0"/>
              <w:adjustRightInd/>
              <w:spacing w:line="480" w:lineRule="exact"/>
              <w:rPr>
                <w:rFonts w:hint="eastAsia" w:asciiTheme="minorEastAsia" w:hAnsiTheme="minorEastAsia" w:eastAsiaTheme="minorEastAsia" w:cstheme="minorEastAsia"/>
                <w:color w:val="auto"/>
                <w:sz w:val="21"/>
                <w:szCs w:val="21"/>
                <w:highlight w:val="none"/>
              </w:rPr>
            </w:pPr>
          </w:p>
          <w:p>
            <w:pPr>
              <w:keepNext w:val="0"/>
              <w:keepLines w:val="0"/>
              <w:pageBreakBefore w:val="0"/>
              <w:kinsoku/>
              <w:wordWrap/>
              <w:overflowPunct/>
              <w:topLinePunct w:val="0"/>
              <w:autoSpaceDE/>
              <w:bidi w:val="0"/>
              <w:adjustRightInd/>
              <w:spacing w:line="480" w:lineRule="exact"/>
              <w:rPr>
                <w:rFonts w:hint="eastAsia" w:asciiTheme="minorEastAsia" w:hAnsiTheme="minorEastAsia" w:eastAsiaTheme="minorEastAsia" w:cstheme="minorEastAsia"/>
                <w:color w:val="auto"/>
                <w:sz w:val="21"/>
                <w:szCs w:val="21"/>
                <w:highlight w:val="none"/>
              </w:rPr>
            </w:pPr>
          </w:p>
          <w:p>
            <w:pPr>
              <w:keepNext w:val="0"/>
              <w:keepLines w:val="0"/>
              <w:pageBreakBefore w:val="0"/>
              <w:kinsoku/>
              <w:wordWrap/>
              <w:overflowPunct/>
              <w:topLinePunct w:val="0"/>
              <w:autoSpaceDE/>
              <w:bidi w:val="0"/>
              <w:adjustRightInd/>
              <w:spacing w:line="480" w:lineRule="exact"/>
              <w:rPr>
                <w:rFonts w:hint="eastAsia" w:asciiTheme="minorEastAsia" w:hAnsiTheme="minorEastAsia" w:eastAsiaTheme="minorEastAsia" w:cstheme="minorEastAsia"/>
                <w:color w:val="auto"/>
                <w:sz w:val="21"/>
                <w:szCs w:val="21"/>
                <w:highlight w:val="none"/>
              </w:rPr>
            </w:pPr>
          </w:p>
          <w:p>
            <w:pPr>
              <w:keepNext w:val="0"/>
              <w:keepLines w:val="0"/>
              <w:pageBreakBefore w:val="0"/>
              <w:kinsoku/>
              <w:wordWrap/>
              <w:overflowPunct/>
              <w:topLinePunct w:val="0"/>
              <w:autoSpaceDE/>
              <w:bidi w:val="0"/>
              <w:adjustRightInd/>
              <w:spacing w:line="480" w:lineRule="exac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财政部门归口业务科室负责人（签字）：       财政部门归口业务科室（盖章）：</w:t>
            </w:r>
          </w:p>
          <w:p>
            <w:pPr>
              <w:keepNext w:val="0"/>
              <w:keepLines w:val="0"/>
              <w:pageBreakBefore w:val="0"/>
              <w:kinsoku/>
              <w:wordWrap/>
              <w:overflowPunct/>
              <w:topLinePunct w:val="0"/>
              <w:autoSpaceDE/>
              <w:autoSpaceDN w:val="0"/>
              <w:bidi w:val="0"/>
              <w:adjustRightInd/>
              <w:spacing w:line="480" w:lineRule="exact"/>
              <w:jc w:val="left"/>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w:t>
            </w:r>
          </w:p>
          <w:p>
            <w:pPr>
              <w:keepNext w:val="0"/>
              <w:keepLines w:val="0"/>
              <w:pageBreakBefore w:val="0"/>
              <w:kinsoku/>
              <w:wordWrap/>
              <w:overflowPunct/>
              <w:topLinePunct w:val="0"/>
              <w:autoSpaceDE/>
              <w:autoSpaceDN w:val="0"/>
              <w:bidi w:val="0"/>
              <w:adjustRightInd/>
              <w:spacing w:line="480" w:lineRule="exact"/>
              <w:ind w:firstLine="6510" w:firstLineChars="3100"/>
              <w:jc w:val="left"/>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年    月   日</w:t>
            </w:r>
          </w:p>
        </w:tc>
      </w:tr>
    </w:tbl>
    <w:p>
      <w:pPr>
        <w:spacing w:line="600" w:lineRule="exact"/>
        <w:ind w:left="0" w:leftChars="0" w:firstLine="1575" w:firstLineChars="750"/>
        <w:jc w:val="both"/>
        <w:rPr>
          <w:rFonts w:hint="eastAsia" w:eastAsia="黑体"/>
          <w:color w:val="auto"/>
          <w:sz w:val="21"/>
          <w:szCs w:val="21"/>
          <w:highlight w:val="none"/>
        </w:rPr>
      </w:pPr>
    </w:p>
    <w:p>
      <w:pPr>
        <w:spacing w:line="578" w:lineRule="atLeast"/>
        <w:jc w:val="both"/>
        <w:rPr>
          <w:rFonts w:hint="eastAsia" w:ascii="宋体" w:hAnsi="宋体" w:cs="宋体"/>
          <w:b/>
          <w:color w:val="auto"/>
          <w:sz w:val="36"/>
          <w:szCs w:val="36"/>
          <w:highlight w:val="none"/>
        </w:rPr>
      </w:pPr>
    </w:p>
    <w:p>
      <w:pPr>
        <w:jc w:val="center"/>
        <w:rPr>
          <w:rFonts w:hint="eastAsia" w:ascii="方正小标宋_GBK" w:hAnsi="方正小标宋_GBK" w:eastAsia="方正小标宋_GBK" w:cs="方正小标宋_GBK"/>
          <w:b/>
          <w:bCs/>
          <w:color w:val="auto"/>
          <w:sz w:val="32"/>
          <w:szCs w:val="32"/>
          <w:lang w:eastAsia="zh-CN"/>
        </w:rPr>
      </w:pPr>
    </w:p>
    <w:p>
      <w:pPr>
        <w:jc w:val="center"/>
        <w:rPr>
          <w:rFonts w:hint="eastAsia" w:ascii="方正小标宋_GBK" w:hAnsi="方正小标宋_GBK" w:eastAsia="方正小标宋_GBK" w:cs="方正小标宋_GBK"/>
          <w:b/>
          <w:bCs/>
          <w:color w:val="auto"/>
          <w:sz w:val="32"/>
          <w:szCs w:val="32"/>
          <w:lang w:eastAsia="zh-CN"/>
        </w:rPr>
      </w:pPr>
    </w:p>
    <w:p>
      <w:pPr>
        <w:jc w:val="center"/>
        <w:rPr>
          <w:rFonts w:hint="eastAsia" w:ascii="方正小标宋_GBK" w:hAnsi="方正小标宋_GBK" w:eastAsia="方正小标宋_GBK" w:cs="方正小标宋_GBK"/>
          <w:b/>
          <w:bCs/>
          <w:color w:val="auto"/>
          <w:sz w:val="32"/>
          <w:szCs w:val="32"/>
          <w:lang w:eastAsia="zh-CN"/>
        </w:rPr>
      </w:pPr>
    </w:p>
    <w:p>
      <w:pPr>
        <w:jc w:val="center"/>
        <w:rPr>
          <w:rFonts w:hint="eastAsia" w:ascii="方正小标宋_GBK" w:hAnsi="方正小标宋_GBK" w:eastAsia="方正小标宋_GBK" w:cs="方正小标宋_GBK"/>
          <w:b/>
          <w:bCs/>
          <w:color w:val="auto"/>
          <w:sz w:val="32"/>
          <w:szCs w:val="32"/>
          <w:lang w:eastAsia="zh-CN"/>
        </w:rPr>
      </w:pPr>
    </w:p>
    <w:p>
      <w:pPr>
        <w:jc w:val="center"/>
        <w:rPr>
          <w:rFonts w:hint="eastAsia" w:ascii="方正小标宋_GBK" w:hAnsi="方正小标宋_GBK" w:eastAsia="方正小标宋_GBK" w:cs="方正小标宋_GBK"/>
          <w:b/>
          <w:bCs/>
          <w:color w:val="auto"/>
          <w:sz w:val="32"/>
          <w:szCs w:val="32"/>
          <w:lang w:eastAsia="zh-CN"/>
        </w:rPr>
      </w:pPr>
    </w:p>
    <w:p>
      <w:pPr>
        <w:jc w:val="center"/>
        <w:rPr>
          <w:rFonts w:hint="eastAsia" w:ascii="方正小标宋_GBK" w:hAnsi="方正小标宋_GBK" w:eastAsia="方正小标宋_GBK" w:cs="方正小标宋_GBK"/>
          <w:b/>
          <w:bCs/>
          <w:color w:val="auto"/>
          <w:sz w:val="32"/>
          <w:szCs w:val="32"/>
          <w:lang w:eastAsia="zh-CN"/>
        </w:rPr>
      </w:pPr>
      <w:r>
        <w:rPr>
          <w:rFonts w:hint="eastAsia" w:ascii="方正小标宋_GBK" w:hAnsi="方正小标宋_GBK" w:eastAsia="方正小标宋_GBK" w:cs="方正小标宋_GBK"/>
          <w:b/>
          <w:bCs/>
          <w:color w:val="auto"/>
          <w:sz w:val="32"/>
          <w:szCs w:val="32"/>
          <w:lang w:eastAsia="zh-CN"/>
        </w:rPr>
        <w:t>湘西土家族苗族自治州工业和信息化局</w:t>
      </w:r>
    </w:p>
    <w:p>
      <w:pPr>
        <w:jc w:val="center"/>
        <w:rPr>
          <w:rFonts w:hint="eastAsia" w:ascii="方正小标宋_GBK" w:hAnsi="方正小标宋_GBK" w:eastAsia="方正小标宋_GBK" w:cs="方正小标宋_GBK"/>
          <w:b/>
          <w:bCs/>
          <w:color w:val="auto"/>
          <w:sz w:val="32"/>
          <w:szCs w:val="32"/>
          <w:lang w:eastAsia="zh-CN"/>
        </w:rPr>
      </w:pPr>
      <w:r>
        <w:rPr>
          <w:rFonts w:hint="eastAsia" w:ascii="方正小标宋_GBK" w:hAnsi="方正小标宋_GBK" w:eastAsia="方正小标宋_GBK" w:cs="方正小标宋_GBK"/>
          <w:b/>
          <w:bCs/>
          <w:color w:val="auto"/>
          <w:sz w:val="32"/>
          <w:szCs w:val="32"/>
          <w:lang w:eastAsia="zh-CN"/>
        </w:rPr>
        <w:t>202</w:t>
      </w:r>
      <w:r>
        <w:rPr>
          <w:rFonts w:hint="eastAsia" w:ascii="方正小标宋_GBK" w:hAnsi="方正小标宋_GBK" w:eastAsia="方正小标宋_GBK" w:cs="方正小标宋_GBK"/>
          <w:b/>
          <w:bCs/>
          <w:color w:val="auto"/>
          <w:sz w:val="32"/>
          <w:szCs w:val="32"/>
          <w:lang w:val="en-US" w:eastAsia="zh-CN"/>
        </w:rPr>
        <w:t>2</w:t>
      </w:r>
      <w:r>
        <w:rPr>
          <w:rFonts w:hint="eastAsia" w:ascii="方正小标宋_GBK" w:hAnsi="方正小标宋_GBK" w:eastAsia="方正小标宋_GBK" w:cs="方正小标宋_GBK"/>
          <w:b/>
          <w:bCs/>
          <w:color w:val="auto"/>
          <w:sz w:val="32"/>
          <w:szCs w:val="32"/>
          <w:lang w:eastAsia="zh-CN"/>
        </w:rPr>
        <w:t>年度部门整体支出绩效评价报告</w:t>
      </w:r>
    </w:p>
    <w:p>
      <w:pPr>
        <w:spacing w:line="600" w:lineRule="exact"/>
        <w:jc w:val="left"/>
        <w:rPr>
          <w:rFonts w:ascii="宋体" w:hAnsi="宋体" w:cs="宋体"/>
          <w:color w:val="auto"/>
          <w:sz w:val="32"/>
          <w:szCs w:val="32"/>
          <w:highlight w:val="none"/>
        </w:rPr>
      </w:pPr>
    </w:p>
    <w:p>
      <w:pPr>
        <w:spacing w:line="600" w:lineRule="exact"/>
        <w:ind w:firstLine="176" w:firstLineChars="73"/>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一、基本情况</w:t>
      </w:r>
    </w:p>
    <w:p>
      <w:pPr>
        <w:pStyle w:val="15"/>
        <w:keepNext w:val="0"/>
        <w:keepLines w:val="0"/>
        <w:pageBreakBefore w:val="0"/>
        <w:widowControl/>
        <w:kinsoku/>
        <w:wordWrap/>
        <w:overflowPunct/>
        <w:topLinePunct w:val="0"/>
        <w:autoSpaceDE/>
        <w:autoSpaceDN/>
        <w:bidi w:val="0"/>
        <w:adjustRightInd/>
        <w:snapToGrid/>
        <w:spacing w:line="540" w:lineRule="exact"/>
        <w:ind w:firstLine="241" w:firstLineChars="1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w:t>
      </w:r>
      <w:bookmarkStart w:id="1" w:name="_Hlk40300346"/>
      <w:r>
        <w:rPr>
          <w:rFonts w:hint="eastAsia" w:ascii="宋体" w:hAnsi="宋体" w:eastAsia="宋体" w:cs="宋体"/>
          <w:b/>
          <w:bCs/>
          <w:color w:val="auto"/>
          <w:sz w:val="24"/>
          <w:szCs w:val="24"/>
          <w:highlight w:val="none"/>
        </w:rPr>
        <w:t>单位基本情况</w:t>
      </w:r>
      <w:bookmarkEnd w:id="1"/>
    </w:p>
    <w:p>
      <w:pPr>
        <w:pStyle w:val="15"/>
        <w:keepNext w:val="0"/>
        <w:keepLines w:val="0"/>
        <w:pageBreakBefore w:val="0"/>
        <w:widowControl/>
        <w:kinsoku/>
        <w:wordWrap/>
        <w:overflowPunct/>
        <w:topLinePunct w:val="0"/>
        <w:autoSpaceDE/>
        <w:autoSpaceDN/>
        <w:bidi w:val="0"/>
        <w:adjustRightInd/>
        <w:snapToGrid/>
        <w:spacing w:line="540" w:lineRule="exact"/>
        <w:ind w:firstLine="56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cs="宋体"/>
          <w:b/>
          <w:bCs/>
          <w:color w:val="auto"/>
          <w:sz w:val="24"/>
          <w:szCs w:val="24"/>
          <w:highlight w:val="none"/>
          <w:lang w:eastAsia="zh-CN"/>
        </w:rPr>
        <w:t>.</w:t>
      </w:r>
      <w:r>
        <w:rPr>
          <w:rFonts w:hint="eastAsia" w:ascii="宋体" w:hAnsi="宋体" w:eastAsia="宋体" w:cs="宋体"/>
          <w:b/>
          <w:bCs/>
          <w:color w:val="auto"/>
          <w:sz w:val="24"/>
          <w:szCs w:val="24"/>
          <w:highlight w:val="none"/>
        </w:rPr>
        <w:t>单位基本情况</w:t>
      </w:r>
    </w:p>
    <w:p>
      <w:pPr>
        <w:spacing w:before="183" w:beforeLines="50" w:line="540" w:lineRule="exact"/>
        <w:ind w:firstLine="480" w:firstLineChars="200"/>
        <w:rPr>
          <w:rFonts w:hint="eastAsia" w:ascii="宋体" w:hAnsi="宋体" w:eastAsia="宋体" w:cs="宋体"/>
          <w:bCs/>
          <w:color w:val="auto"/>
          <w:sz w:val="24"/>
          <w:szCs w:val="24"/>
          <w:highlight w:val="none"/>
        </w:rPr>
      </w:pPr>
      <w:bookmarkStart w:id="2" w:name="_Hlk42197695"/>
      <w:bookmarkStart w:id="3" w:name="_Toc2195"/>
      <w:r>
        <w:rPr>
          <w:rFonts w:hint="eastAsia" w:ascii="宋体" w:hAnsi="宋体" w:eastAsia="宋体" w:cs="宋体"/>
          <w:bCs/>
          <w:color w:val="auto"/>
          <w:sz w:val="24"/>
          <w:szCs w:val="24"/>
          <w:highlight w:val="none"/>
        </w:rPr>
        <w:t>湘西州工信局</w:t>
      </w:r>
      <w:bookmarkEnd w:id="2"/>
      <w:r>
        <w:rPr>
          <w:rFonts w:hint="eastAsia" w:ascii="宋体" w:hAnsi="宋体" w:eastAsia="宋体" w:cs="宋体"/>
          <w:bCs/>
          <w:color w:val="auto"/>
          <w:sz w:val="24"/>
          <w:szCs w:val="24"/>
          <w:highlight w:val="none"/>
        </w:rPr>
        <w:t>是湘西土家族苗族自治州人民政府的工业经济主管部门，位于吉首市人民北路58号，单位性质为行政单位，统一社会信用代码为11433100006686154J。2019年12月中共湘西自治州委办公室、湘西自治州人民政府办公室发文州办【2019】101号文件，就湘西土家族苗族自治州</w:t>
      </w:r>
      <w:bookmarkStart w:id="4" w:name="_Hlk74168262"/>
      <w:r>
        <w:rPr>
          <w:rFonts w:hint="eastAsia" w:ascii="宋体" w:hAnsi="宋体" w:eastAsia="宋体" w:cs="宋体"/>
          <w:bCs/>
          <w:color w:val="auto"/>
          <w:sz w:val="24"/>
          <w:szCs w:val="24"/>
          <w:highlight w:val="none"/>
        </w:rPr>
        <w:t>工业和信息化局</w:t>
      </w:r>
      <w:bookmarkEnd w:id="4"/>
      <w:r>
        <w:rPr>
          <w:rFonts w:hint="eastAsia" w:ascii="宋体" w:hAnsi="宋体" w:eastAsia="宋体" w:cs="宋体"/>
          <w:bCs/>
          <w:color w:val="auto"/>
          <w:sz w:val="24"/>
          <w:szCs w:val="24"/>
          <w:highlight w:val="none"/>
        </w:rPr>
        <w:t>职责和机构编制进行了调整。州工信局调整职责情况如下：增加了承担全州军民融合发展综合协调和督导落实、国防科技工业相关职责，贯彻落实国家、省州有关酒类产业发展的政策法规和决策部署出尽全州酒类产业发展，将能源运行相关职责划入州发展和改革委员会；调整职责后的本单位内设办公室、军民融合和综合科、政策法规科、财务资产科、园区和产业集聚科、投资规划科技科、节能与综合利用科、人工智能与信息化产业科、运行监督科、煤炭管理办公室、酒业发展促进科等14个科室。下属独立核算全额拨款事业单位3家:</w:t>
      </w:r>
      <w:r>
        <w:rPr>
          <w:rFonts w:hint="eastAsia" w:ascii="宋体" w:hAnsi="宋体" w:cs="宋体"/>
          <w:bCs/>
          <w:color w:val="auto"/>
          <w:sz w:val="24"/>
          <w:szCs w:val="24"/>
          <w:highlight w:val="none"/>
          <w:lang w:val="en-US" w:eastAsia="zh-CN"/>
        </w:rPr>
        <w:t>分别为</w:t>
      </w: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lang w:eastAsia="zh-CN"/>
        </w:rPr>
        <w:t>）</w:t>
      </w:r>
      <w:r>
        <w:rPr>
          <w:rFonts w:hint="eastAsia" w:ascii="宋体" w:hAnsi="宋体" w:eastAsia="宋体" w:cs="宋体"/>
          <w:bCs/>
          <w:color w:val="auto"/>
          <w:sz w:val="24"/>
          <w:szCs w:val="24"/>
          <w:highlight w:val="none"/>
        </w:rPr>
        <w:t>州</w:t>
      </w:r>
      <w:r>
        <w:rPr>
          <w:rFonts w:hint="eastAsia" w:ascii="宋体" w:hAnsi="宋体" w:cs="宋体"/>
          <w:bCs/>
          <w:color w:val="auto"/>
          <w:sz w:val="24"/>
          <w:szCs w:val="24"/>
          <w:highlight w:val="none"/>
          <w:lang w:val="en-US" w:eastAsia="zh-CN"/>
        </w:rPr>
        <w:t>中小微</w:t>
      </w:r>
      <w:r>
        <w:rPr>
          <w:rFonts w:hint="eastAsia" w:ascii="宋体" w:hAnsi="宋体" w:eastAsia="宋体" w:cs="宋体"/>
          <w:bCs/>
          <w:color w:val="auto"/>
          <w:sz w:val="24"/>
          <w:szCs w:val="24"/>
          <w:highlight w:val="none"/>
        </w:rPr>
        <w:t>企业服务中心；</w:t>
      </w: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2</w:t>
      </w:r>
      <w:r>
        <w:rPr>
          <w:rFonts w:hint="eastAsia" w:ascii="宋体" w:hAnsi="宋体" w:cs="宋体"/>
          <w:bCs/>
          <w:color w:val="auto"/>
          <w:sz w:val="24"/>
          <w:szCs w:val="24"/>
          <w:highlight w:val="none"/>
          <w:lang w:eastAsia="zh-CN"/>
        </w:rPr>
        <w:t>）</w:t>
      </w:r>
      <w:r>
        <w:rPr>
          <w:rFonts w:hint="eastAsia" w:ascii="宋体" w:hAnsi="宋体" w:eastAsia="宋体" w:cs="宋体"/>
          <w:bCs/>
          <w:color w:val="auto"/>
          <w:sz w:val="24"/>
          <w:szCs w:val="24"/>
          <w:highlight w:val="none"/>
        </w:rPr>
        <w:t>州散装水泥办公室；</w:t>
      </w: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3</w:t>
      </w:r>
      <w:r>
        <w:rPr>
          <w:rFonts w:hint="eastAsia" w:ascii="宋体" w:hAnsi="宋体" w:cs="宋体"/>
          <w:bCs/>
          <w:color w:val="auto"/>
          <w:sz w:val="24"/>
          <w:szCs w:val="24"/>
          <w:highlight w:val="none"/>
          <w:lang w:eastAsia="zh-CN"/>
        </w:rPr>
        <w:t>）</w:t>
      </w:r>
      <w:r>
        <w:rPr>
          <w:rFonts w:hint="eastAsia" w:ascii="宋体" w:hAnsi="宋体" w:eastAsia="宋体" w:cs="宋体"/>
          <w:bCs/>
          <w:color w:val="auto"/>
          <w:sz w:val="24"/>
          <w:szCs w:val="24"/>
          <w:highlight w:val="none"/>
        </w:rPr>
        <w:t>州墙体材料改革办公室。</w:t>
      </w:r>
    </w:p>
    <w:p>
      <w:pPr>
        <w:pStyle w:val="15"/>
        <w:widowControl/>
        <w:spacing w:before="183" w:beforeLines="50" w:after="183" w:afterLines="50" w:line="540" w:lineRule="exact"/>
        <w:ind w:firstLine="56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截止202</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年12月31日，州工业和信息化局经州编委核定的编制人数为</w:t>
      </w:r>
      <w:r>
        <w:rPr>
          <w:rFonts w:hint="eastAsia" w:ascii="宋体" w:hAnsi="宋体" w:cs="宋体"/>
          <w:color w:val="auto"/>
          <w:sz w:val="24"/>
          <w:szCs w:val="24"/>
          <w:highlight w:val="none"/>
          <w:lang w:val="en-US" w:eastAsia="zh-CN"/>
        </w:rPr>
        <w:t>91</w:t>
      </w:r>
      <w:r>
        <w:rPr>
          <w:rFonts w:hint="eastAsia" w:ascii="宋体" w:hAnsi="宋体" w:eastAsia="宋体" w:cs="宋体"/>
          <w:color w:val="auto"/>
          <w:sz w:val="24"/>
          <w:szCs w:val="24"/>
          <w:highlight w:val="none"/>
        </w:rPr>
        <w:t>人</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年末实有在职人员</w:t>
      </w:r>
      <w:r>
        <w:rPr>
          <w:rFonts w:hint="eastAsia" w:ascii="宋体" w:hAnsi="宋体" w:cs="宋体"/>
          <w:color w:val="auto"/>
          <w:sz w:val="24"/>
          <w:szCs w:val="24"/>
          <w:highlight w:val="none"/>
          <w:lang w:val="en-US" w:eastAsia="zh-CN"/>
        </w:rPr>
        <w:t>78</w:t>
      </w:r>
      <w:r>
        <w:rPr>
          <w:rFonts w:hint="eastAsia" w:ascii="宋体" w:hAnsi="宋体" w:eastAsia="宋体" w:cs="宋体"/>
          <w:color w:val="auto"/>
          <w:sz w:val="24"/>
          <w:szCs w:val="24"/>
          <w:highlight w:val="none"/>
        </w:rPr>
        <w:t>人</w:t>
      </w:r>
      <w:r>
        <w:rPr>
          <w:rFonts w:hint="eastAsia" w:ascii="宋体" w:hAnsi="宋体" w:cs="宋体"/>
          <w:color w:val="auto"/>
          <w:sz w:val="24"/>
          <w:szCs w:val="24"/>
          <w:highlight w:val="none"/>
          <w:lang w:eastAsia="zh-CN"/>
        </w:rPr>
        <w:t>，</w:t>
      </w:r>
      <w:r>
        <w:rPr>
          <w:rFonts w:hint="eastAsia" w:ascii="宋体" w:hAnsi="宋体" w:cs="宋体"/>
          <w:b w:val="0"/>
          <w:bCs w:val="0"/>
          <w:color w:val="auto"/>
          <w:sz w:val="24"/>
          <w:szCs w:val="24"/>
          <w:highlight w:val="none"/>
          <w:lang w:val="en-US" w:eastAsia="zh-CN"/>
        </w:rPr>
        <w:t>其中</w:t>
      </w:r>
      <w:r>
        <w:rPr>
          <w:rFonts w:hint="eastAsia" w:ascii="宋体" w:hAnsi="宋体" w:eastAsia="宋体" w:cs="宋体"/>
          <w:b w:val="0"/>
          <w:bCs w:val="0"/>
          <w:color w:val="auto"/>
          <w:sz w:val="24"/>
          <w:szCs w:val="24"/>
          <w:highlight w:val="none"/>
        </w:rPr>
        <w:t>行政人员</w:t>
      </w:r>
      <w:r>
        <w:rPr>
          <w:rFonts w:hint="eastAsia" w:ascii="宋体" w:hAnsi="宋体" w:cs="宋体"/>
          <w:b w:val="0"/>
          <w:bCs w:val="0"/>
          <w:color w:val="auto"/>
          <w:sz w:val="24"/>
          <w:szCs w:val="24"/>
          <w:highlight w:val="none"/>
          <w:lang w:val="en-US" w:eastAsia="zh-CN"/>
        </w:rPr>
        <w:t>33</w:t>
      </w:r>
      <w:r>
        <w:rPr>
          <w:rFonts w:hint="eastAsia" w:ascii="宋体" w:hAnsi="宋体" w:eastAsia="宋体" w:cs="宋体"/>
          <w:b w:val="0"/>
          <w:bCs w:val="0"/>
          <w:color w:val="auto"/>
          <w:sz w:val="24"/>
          <w:szCs w:val="24"/>
          <w:highlight w:val="none"/>
        </w:rPr>
        <w:t>人</w:t>
      </w:r>
      <w:r>
        <w:rPr>
          <w:rFonts w:hint="eastAsia" w:ascii="宋体" w:hAnsi="宋体" w:cs="宋体"/>
          <w:b w:val="0"/>
          <w:bCs w:val="0"/>
          <w:color w:val="auto"/>
          <w:sz w:val="24"/>
          <w:szCs w:val="24"/>
          <w:highlight w:val="none"/>
          <w:lang w:eastAsia="zh-CN"/>
        </w:rPr>
        <w:t>，</w:t>
      </w:r>
      <w:bookmarkStart w:id="5" w:name="_Hlk74572956"/>
      <w:r>
        <w:rPr>
          <w:rFonts w:hint="eastAsia" w:ascii="宋体" w:hAnsi="宋体" w:eastAsia="宋体" w:cs="宋体"/>
          <w:b w:val="0"/>
          <w:bCs w:val="0"/>
          <w:color w:val="auto"/>
          <w:sz w:val="24"/>
          <w:szCs w:val="24"/>
          <w:highlight w:val="none"/>
        </w:rPr>
        <w:t>参照公务员法管理人员</w:t>
      </w:r>
      <w:bookmarkEnd w:id="5"/>
      <w:r>
        <w:rPr>
          <w:rFonts w:hint="eastAsia" w:ascii="宋体" w:hAnsi="宋体" w:cs="宋体"/>
          <w:b w:val="0"/>
          <w:bCs w:val="0"/>
          <w:color w:val="auto"/>
          <w:sz w:val="24"/>
          <w:szCs w:val="24"/>
          <w:highlight w:val="none"/>
          <w:lang w:val="en-US" w:eastAsia="zh-CN"/>
        </w:rPr>
        <w:t>16</w:t>
      </w:r>
      <w:r>
        <w:rPr>
          <w:rFonts w:hint="eastAsia" w:ascii="宋体" w:hAnsi="宋体" w:eastAsia="宋体" w:cs="宋体"/>
          <w:b w:val="0"/>
          <w:bCs w:val="0"/>
          <w:color w:val="auto"/>
          <w:sz w:val="24"/>
          <w:szCs w:val="24"/>
          <w:highlight w:val="none"/>
        </w:rPr>
        <w:t>人、非参公</w:t>
      </w:r>
      <w:r>
        <w:rPr>
          <w:rFonts w:hint="eastAsia" w:ascii="宋体" w:hAnsi="宋体" w:cs="宋体"/>
          <w:b w:val="0"/>
          <w:bCs w:val="0"/>
          <w:color w:val="auto"/>
          <w:sz w:val="24"/>
          <w:szCs w:val="24"/>
          <w:highlight w:val="none"/>
          <w:lang w:val="en-US" w:eastAsia="zh-CN"/>
        </w:rPr>
        <w:t>事业</w:t>
      </w:r>
      <w:r>
        <w:rPr>
          <w:rFonts w:hint="eastAsia" w:ascii="宋体" w:hAnsi="宋体" w:eastAsia="宋体" w:cs="宋体"/>
          <w:b w:val="0"/>
          <w:bCs w:val="0"/>
          <w:color w:val="auto"/>
          <w:sz w:val="24"/>
          <w:szCs w:val="24"/>
          <w:highlight w:val="none"/>
        </w:rPr>
        <w:t>人员</w:t>
      </w:r>
      <w:r>
        <w:rPr>
          <w:rFonts w:hint="eastAsia" w:ascii="宋体" w:hAnsi="宋体" w:cs="宋体"/>
          <w:b w:val="0"/>
          <w:bCs w:val="0"/>
          <w:color w:val="auto"/>
          <w:sz w:val="24"/>
          <w:szCs w:val="24"/>
          <w:highlight w:val="none"/>
          <w:lang w:val="en-US" w:eastAsia="zh-CN"/>
        </w:rPr>
        <w:t>29</w:t>
      </w:r>
      <w:r>
        <w:rPr>
          <w:rFonts w:hint="eastAsia" w:ascii="宋体" w:hAnsi="宋体" w:eastAsia="宋体" w:cs="宋体"/>
          <w:b w:val="0"/>
          <w:bCs w:val="0"/>
          <w:color w:val="auto"/>
          <w:sz w:val="24"/>
          <w:szCs w:val="24"/>
          <w:highlight w:val="none"/>
        </w:rPr>
        <w:t>人</w:t>
      </w:r>
      <w:r>
        <w:rPr>
          <w:rFonts w:hint="eastAsia" w:ascii="宋体" w:hAnsi="宋体" w:eastAsia="宋体" w:cs="宋体"/>
          <w:color w:val="auto"/>
          <w:sz w:val="24"/>
          <w:szCs w:val="24"/>
          <w:highlight w:val="none"/>
        </w:rPr>
        <w:t>。</w:t>
      </w:r>
    </w:p>
    <w:p>
      <w:pPr>
        <w:pStyle w:val="15"/>
        <w:widowControl/>
        <w:spacing w:before="183" w:beforeLines="50" w:after="183" w:afterLines="50" w:line="540" w:lineRule="exact"/>
        <w:ind w:firstLine="560"/>
        <w:rPr>
          <w:rFonts w:hint="eastAsia" w:ascii="宋体" w:hAnsi="宋体" w:eastAsia="宋体" w:cs="宋体"/>
          <w:b/>
          <w:bCs/>
          <w:color w:val="auto"/>
          <w:sz w:val="24"/>
          <w:szCs w:val="24"/>
          <w:highlight w:val="none"/>
        </w:rPr>
      </w:pPr>
      <w:r>
        <w:rPr>
          <w:rFonts w:hint="eastAsia" w:ascii="宋体" w:hAnsi="宋体" w:cs="宋体"/>
          <w:b/>
          <w:bCs/>
          <w:color w:val="auto"/>
          <w:sz w:val="24"/>
          <w:szCs w:val="24"/>
          <w:highlight w:val="none"/>
          <w:lang w:val="en-US" w:eastAsia="zh-CN"/>
        </w:rPr>
        <w:t>2.</w:t>
      </w:r>
      <w:bookmarkEnd w:id="3"/>
      <w:r>
        <w:rPr>
          <w:rFonts w:hint="eastAsia" w:ascii="宋体" w:hAnsi="宋体" w:eastAsia="宋体" w:cs="宋体"/>
          <w:b/>
          <w:bCs/>
          <w:color w:val="auto"/>
          <w:sz w:val="24"/>
          <w:szCs w:val="24"/>
          <w:highlight w:val="none"/>
        </w:rPr>
        <w:t>单位职责概述</w:t>
      </w:r>
    </w:p>
    <w:p>
      <w:pPr>
        <w:widowControl/>
        <w:numPr>
          <w:ilvl w:val="0"/>
          <w:numId w:val="0"/>
        </w:numPr>
        <w:spacing w:before="183" w:beforeLines="50" w:after="200" w:line="540" w:lineRule="exact"/>
        <w:ind w:left="210" w:leftChars="0"/>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lang w:eastAsia="zh-CN"/>
        </w:rPr>
        <w:t>）</w:t>
      </w:r>
      <w:r>
        <w:rPr>
          <w:rFonts w:hint="eastAsia" w:ascii="宋体" w:hAnsi="宋体" w:eastAsia="宋体" w:cs="宋体"/>
          <w:bCs/>
          <w:color w:val="auto"/>
          <w:sz w:val="24"/>
          <w:szCs w:val="24"/>
          <w:highlight w:val="none"/>
        </w:rPr>
        <w:t>贯彻落实国家、省和州有关经济和信息化的方针、政策和法律、法规；起草工业和信息化领域的地方性法规、规章草案和政策，并对相关法律法规的执行情况进行监督检查。</w:t>
      </w:r>
    </w:p>
    <w:p>
      <w:pPr>
        <w:widowControl/>
        <w:numPr>
          <w:ilvl w:val="0"/>
          <w:numId w:val="0"/>
        </w:numPr>
        <w:spacing w:before="183" w:beforeLines="50" w:after="200" w:line="540" w:lineRule="exact"/>
        <w:ind w:left="210" w:leftChars="0"/>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2</w:t>
      </w:r>
      <w:r>
        <w:rPr>
          <w:rFonts w:hint="eastAsia" w:ascii="宋体" w:hAnsi="宋体" w:cs="宋体"/>
          <w:bCs/>
          <w:color w:val="auto"/>
          <w:sz w:val="24"/>
          <w:szCs w:val="24"/>
          <w:highlight w:val="none"/>
          <w:lang w:eastAsia="zh-CN"/>
        </w:rPr>
        <w:t>）</w:t>
      </w:r>
      <w:r>
        <w:rPr>
          <w:rFonts w:hint="eastAsia" w:ascii="宋体" w:hAnsi="宋体" w:eastAsia="宋体" w:cs="宋体"/>
          <w:bCs/>
          <w:color w:val="auto"/>
          <w:sz w:val="24"/>
          <w:szCs w:val="24"/>
          <w:highlight w:val="none"/>
        </w:rPr>
        <w:t>拟定并组织实施工业、信息化的发展专项规划，贯彻落实国家产业政策。研究提出推进产业结构调整、工业与相关产业融合发展及管理创新的政策建议；指导工业和信息化领域加强安全生产、质量管理和应急工作，协调减轻企业负担工作；协同有关部门做好全州维护企业稳定工作。</w:t>
      </w:r>
    </w:p>
    <w:p>
      <w:pPr>
        <w:widowControl/>
        <w:numPr>
          <w:ilvl w:val="0"/>
          <w:numId w:val="0"/>
        </w:numPr>
        <w:spacing w:before="183" w:beforeLines="50" w:after="200" w:line="540" w:lineRule="exact"/>
        <w:ind w:left="210" w:leftChars="0"/>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3</w:t>
      </w:r>
      <w:r>
        <w:rPr>
          <w:rFonts w:hint="eastAsia" w:ascii="宋体" w:hAnsi="宋体" w:cs="宋体"/>
          <w:bCs/>
          <w:color w:val="auto"/>
          <w:sz w:val="24"/>
          <w:szCs w:val="24"/>
          <w:highlight w:val="none"/>
          <w:lang w:eastAsia="zh-CN"/>
        </w:rPr>
        <w:t>）</w:t>
      </w:r>
      <w:r>
        <w:rPr>
          <w:rFonts w:hint="eastAsia" w:ascii="宋体" w:hAnsi="宋体" w:eastAsia="宋体" w:cs="宋体"/>
          <w:bCs/>
          <w:color w:val="auto"/>
          <w:sz w:val="24"/>
          <w:szCs w:val="24"/>
          <w:highlight w:val="none"/>
        </w:rPr>
        <w:t>负责全州工业和信息化领域的日常经济运行调节，编制并组织实施近期工业和信息化领域的经济运行调控目标、政策和措施；监测分析近期工业信息化领域的经济运行态势，统计并发布相关信息，统筹协调解决经济运行中的突出矛盾和问题，并提出政策建议。</w:t>
      </w:r>
    </w:p>
    <w:p>
      <w:pPr>
        <w:widowControl/>
        <w:numPr>
          <w:ilvl w:val="0"/>
          <w:numId w:val="0"/>
        </w:numPr>
        <w:spacing w:before="183" w:beforeLines="50" w:after="200" w:line="540" w:lineRule="exact"/>
        <w:ind w:left="210" w:leftChars="0"/>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4</w:t>
      </w:r>
      <w:r>
        <w:rPr>
          <w:rFonts w:hint="eastAsia" w:ascii="宋体" w:hAnsi="宋体" w:cs="宋体"/>
          <w:bCs/>
          <w:color w:val="auto"/>
          <w:sz w:val="24"/>
          <w:szCs w:val="24"/>
          <w:highlight w:val="none"/>
          <w:lang w:eastAsia="zh-CN"/>
        </w:rPr>
        <w:t>）</w:t>
      </w:r>
      <w:r>
        <w:rPr>
          <w:rFonts w:hint="eastAsia" w:ascii="宋体" w:hAnsi="宋体" w:eastAsia="宋体" w:cs="宋体"/>
          <w:bCs/>
          <w:color w:val="auto"/>
          <w:sz w:val="24"/>
          <w:szCs w:val="24"/>
          <w:highlight w:val="none"/>
        </w:rPr>
        <w:t>拟定全州新型工业化的发展战略，协调解决有关重大问题；推进信息化和工业化融合，推进高新技术与传统工业改造结合；推进全州国民经济和社会信号化。</w:t>
      </w:r>
    </w:p>
    <w:p>
      <w:pPr>
        <w:widowControl/>
        <w:numPr>
          <w:ilvl w:val="0"/>
          <w:numId w:val="0"/>
        </w:numPr>
        <w:spacing w:before="183" w:beforeLines="50" w:after="200" w:line="540" w:lineRule="exact"/>
        <w:ind w:left="210" w:leftChars="0"/>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5</w:t>
      </w:r>
      <w:r>
        <w:rPr>
          <w:rFonts w:hint="eastAsia" w:ascii="宋体" w:hAnsi="宋体" w:cs="宋体"/>
          <w:bCs/>
          <w:color w:val="auto"/>
          <w:sz w:val="24"/>
          <w:szCs w:val="24"/>
          <w:highlight w:val="none"/>
          <w:lang w:eastAsia="zh-CN"/>
        </w:rPr>
        <w:t>）</w:t>
      </w:r>
      <w:r>
        <w:rPr>
          <w:rFonts w:hint="eastAsia" w:ascii="宋体" w:hAnsi="宋体" w:eastAsia="宋体" w:cs="宋体"/>
          <w:bCs/>
          <w:color w:val="auto"/>
          <w:sz w:val="24"/>
          <w:szCs w:val="24"/>
          <w:highlight w:val="none"/>
        </w:rPr>
        <w:t>负责工业和信息化领域的国防动员有关工作；指导工业和信息化领域技术进步、技术创新；推进工业行业体制改革和管理创新，推进产学研结合和科研成果产业化；编制和组织实施技术改造规划，提出工业和信息化固定资产投资规模和方向。</w:t>
      </w:r>
    </w:p>
    <w:p>
      <w:pPr>
        <w:widowControl/>
        <w:numPr>
          <w:ilvl w:val="0"/>
          <w:numId w:val="0"/>
        </w:numPr>
        <w:spacing w:before="183" w:beforeLines="50" w:after="200" w:line="540" w:lineRule="exact"/>
        <w:ind w:left="210" w:leftChars="0"/>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6</w:t>
      </w:r>
      <w:r>
        <w:rPr>
          <w:rFonts w:hint="eastAsia" w:ascii="宋体" w:hAnsi="宋体" w:cs="宋体"/>
          <w:bCs/>
          <w:color w:val="auto"/>
          <w:sz w:val="24"/>
          <w:szCs w:val="24"/>
          <w:highlight w:val="none"/>
          <w:lang w:eastAsia="zh-CN"/>
        </w:rPr>
        <w:t>）</w:t>
      </w:r>
      <w:r>
        <w:rPr>
          <w:rFonts w:hint="eastAsia" w:ascii="宋体" w:hAnsi="宋体" w:eastAsia="宋体" w:cs="宋体"/>
          <w:bCs/>
          <w:color w:val="auto"/>
          <w:sz w:val="24"/>
          <w:szCs w:val="24"/>
          <w:highlight w:val="none"/>
        </w:rPr>
        <w:t>负责中小企业和非公有制经济发展的宏观指导；制定全州中小企业和非公有制经济中长期发展规划并组织实施；推进中小企业服务体系建设和全民创业；综合协调有关部门拟定促进中小企业和非公有制经济发展的改革措施，协调解决有关重大问题。</w:t>
      </w:r>
    </w:p>
    <w:p>
      <w:pPr>
        <w:widowControl/>
        <w:numPr>
          <w:ilvl w:val="0"/>
          <w:numId w:val="0"/>
        </w:numPr>
        <w:spacing w:before="183" w:beforeLines="50" w:after="200" w:line="540" w:lineRule="exact"/>
        <w:ind w:left="210" w:leftChars="0"/>
        <w:rPr>
          <w:rFonts w:hint="eastAsia" w:ascii="宋体" w:hAnsi="宋体" w:eastAsia="宋体" w:cs="宋体"/>
          <w:bCs/>
          <w:color w:val="auto"/>
          <w:sz w:val="24"/>
          <w:szCs w:val="24"/>
          <w:highlight w:val="none"/>
          <w:lang w:eastAsia="zh-CN"/>
        </w:rPr>
      </w:pP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7</w:t>
      </w:r>
      <w:r>
        <w:rPr>
          <w:rFonts w:hint="eastAsia" w:ascii="宋体" w:hAnsi="宋体" w:cs="宋体"/>
          <w:bCs/>
          <w:color w:val="auto"/>
          <w:sz w:val="24"/>
          <w:szCs w:val="24"/>
          <w:highlight w:val="none"/>
          <w:lang w:eastAsia="zh-CN"/>
        </w:rPr>
        <w:t>）承担工业企业的节能考核和监察工作；组织推进清洁生产工作；组织协调相关重大示范工程和相关新产品、新设备、新材料的推广应用。</w:t>
      </w:r>
    </w:p>
    <w:p>
      <w:pPr>
        <w:widowControl/>
        <w:numPr>
          <w:ilvl w:val="0"/>
          <w:numId w:val="0"/>
        </w:numPr>
        <w:spacing w:before="183" w:beforeLines="50" w:after="200" w:line="540" w:lineRule="exact"/>
        <w:ind w:left="210" w:leftChars="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lang w:val="en-US" w:eastAsia="zh-CN"/>
        </w:rPr>
        <w:t>8</w:t>
      </w: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rPr>
        <w:t>负责煤炭、电力、石油、天然气和原材料等经济运行保障要素的工业经济运行；指导生产企业物流外包，促进企业内部物流社会化。</w:t>
      </w:r>
    </w:p>
    <w:p>
      <w:pPr>
        <w:widowControl/>
        <w:numPr>
          <w:ilvl w:val="0"/>
          <w:numId w:val="0"/>
        </w:numPr>
        <w:spacing w:before="183" w:beforeLines="50" w:after="200" w:line="540" w:lineRule="exact"/>
        <w:ind w:left="210" w:leftChars="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lang w:val="en-US" w:eastAsia="zh-CN"/>
        </w:rPr>
        <w:t>9</w:t>
      </w: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rPr>
        <w:t>统筹推进经济和社会领域信息化工作；指导协调电子政务发展；推进全州信息化建设；</w:t>
      </w:r>
    </w:p>
    <w:p>
      <w:pPr>
        <w:widowControl/>
        <w:numPr>
          <w:ilvl w:val="0"/>
          <w:numId w:val="0"/>
        </w:numPr>
        <w:spacing w:before="183" w:beforeLines="50" w:after="200" w:line="540" w:lineRule="exact"/>
        <w:ind w:left="210" w:leftChars="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lang w:val="en-US" w:eastAsia="zh-CN"/>
        </w:rPr>
        <w:t>10</w:t>
      </w: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rPr>
        <w:t>协调全州工用通信网、互联网、广播电视网和其他专用通信网的规划和建设，促进网络资源共享。拟定全州信息安全发展战略、规划，指导、协调信息安全保障体系建设；指导监督有关部门重要信息系统与基础信息网络的安全保障工作；协助处理网络与信息安全的重大事件。</w:t>
      </w:r>
    </w:p>
    <w:p>
      <w:pPr>
        <w:widowControl/>
        <w:numPr>
          <w:ilvl w:val="0"/>
          <w:numId w:val="0"/>
        </w:numPr>
        <w:spacing w:before="183" w:beforeLines="50" w:after="200" w:line="540" w:lineRule="exact"/>
        <w:ind w:left="210" w:leftChars="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lang w:val="en-US" w:eastAsia="zh-CN"/>
        </w:rPr>
        <w:t>11</w:t>
      </w: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rPr>
        <w:t>负责推动软件业和信息服务业的发展，协调解决重大问题；推动软件公共服务体系建设；依法监督管理信息服务市场。</w:t>
      </w:r>
    </w:p>
    <w:p>
      <w:pPr>
        <w:widowControl/>
        <w:numPr>
          <w:ilvl w:val="0"/>
          <w:numId w:val="0"/>
        </w:numPr>
        <w:spacing w:before="183" w:beforeLines="50" w:after="200" w:line="540" w:lineRule="exact"/>
        <w:ind w:left="210" w:leftChars="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lang w:val="en-US" w:eastAsia="zh-CN"/>
        </w:rPr>
        <w:t>12</w:t>
      </w: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rPr>
        <w:t>承担全州装备科研生产重大事项；推进重大技术装备国产化；指导引进重大技术装备的消化创新。</w:t>
      </w:r>
    </w:p>
    <w:p>
      <w:pPr>
        <w:widowControl/>
        <w:numPr>
          <w:ilvl w:val="0"/>
          <w:numId w:val="0"/>
        </w:numPr>
        <w:spacing w:before="183" w:beforeLines="50" w:after="200" w:line="540" w:lineRule="exact"/>
        <w:ind w:left="210" w:leftChars="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lang w:val="en-US" w:eastAsia="zh-CN"/>
        </w:rPr>
        <w:t>13</w:t>
      </w: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rPr>
        <w:t>承担全州民爆物品安全生产许可和销售许可的监督管理。</w:t>
      </w:r>
    </w:p>
    <w:p>
      <w:pPr>
        <w:widowControl/>
        <w:numPr>
          <w:ilvl w:val="0"/>
          <w:numId w:val="0"/>
        </w:numPr>
        <w:spacing w:before="183" w:beforeLines="50" w:after="200" w:line="540" w:lineRule="exact"/>
        <w:ind w:left="210" w:leftChars="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lang w:val="en-US" w:eastAsia="zh-CN"/>
        </w:rPr>
        <w:t>14</w:t>
      </w: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rPr>
        <w:t>负责全州产业园区建设协调服务工作，拟定并组织实施园区发展规划和政策措施，指导园区产业合理布局，负责推进重点产业园区建设发展，推进园区公共设施建设，组织实施产业园区公共服务平台建设。</w:t>
      </w:r>
    </w:p>
    <w:p>
      <w:pPr>
        <w:widowControl/>
        <w:numPr>
          <w:ilvl w:val="0"/>
          <w:numId w:val="0"/>
        </w:numPr>
        <w:spacing w:before="183" w:beforeLines="50" w:after="200" w:line="540" w:lineRule="exact"/>
        <w:ind w:left="210" w:leftChars="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lang w:val="en-US" w:eastAsia="zh-CN"/>
        </w:rPr>
        <w:t>15</w:t>
      </w: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rPr>
        <w:t>负责工业和信息化招商项目的规划、开发、包装、发布、联络、洽谈工作，承担州本级工业和信息化招商引资工作；指导园区承接产业转移、开展产业工作。</w:t>
      </w:r>
    </w:p>
    <w:p>
      <w:pPr>
        <w:widowControl/>
        <w:numPr>
          <w:ilvl w:val="0"/>
          <w:numId w:val="0"/>
        </w:numPr>
        <w:spacing w:before="183" w:beforeLines="50" w:after="200" w:line="540" w:lineRule="exact"/>
        <w:ind w:left="210" w:leftChars="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lang w:val="en-US" w:eastAsia="zh-CN"/>
        </w:rPr>
        <w:t>16</w:t>
      </w: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rPr>
        <w:t>指导全州工业和信息化领域人才开发与培训工作。</w:t>
      </w:r>
    </w:p>
    <w:p>
      <w:pPr>
        <w:widowControl/>
        <w:numPr>
          <w:ilvl w:val="0"/>
          <w:numId w:val="0"/>
        </w:numPr>
        <w:spacing w:before="183" w:beforeLines="50" w:after="200" w:line="540" w:lineRule="exact"/>
        <w:ind w:left="210" w:leftChars="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lang w:val="en-US" w:eastAsia="zh-CN"/>
        </w:rPr>
        <w:t>17</w:t>
      </w: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rPr>
        <w:t>指导国有煤炭企业改革工作，促进煤炭行业产业结构调整，做好国有煤炭企业职工安置和维护职工队伍稳定工作。</w:t>
      </w:r>
    </w:p>
    <w:p>
      <w:pPr>
        <w:widowControl/>
        <w:numPr>
          <w:ilvl w:val="0"/>
          <w:numId w:val="0"/>
        </w:numPr>
        <w:spacing w:before="183" w:beforeLines="50" w:after="200" w:line="540" w:lineRule="exact"/>
        <w:ind w:left="210" w:leftChars="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lang w:val="en-US" w:eastAsia="zh-CN"/>
        </w:rPr>
        <w:t>18</w:t>
      </w: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rPr>
        <w:t>承担全州军民融合发展综合协调和督导落实、国防科技工业相关职责。</w:t>
      </w:r>
    </w:p>
    <w:p>
      <w:pPr>
        <w:widowControl/>
        <w:numPr>
          <w:ilvl w:val="0"/>
          <w:numId w:val="0"/>
        </w:numPr>
        <w:spacing w:before="183" w:beforeLines="50" w:after="200" w:line="540" w:lineRule="exact"/>
        <w:ind w:left="210" w:leftChars="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lang w:val="en-US" w:eastAsia="zh-CN"/>
        </w:rPr>
        <w:t>19</w:t>
      </w: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rPr>
        <w:t>贯彻落实国家、省、州有关酒类发展产业的政策法规和决策部署，促进全州酒类产业发展。组织拟订全州酒类产业发展政策和规划，计划并组织实施。指导全州酒类产业发展布局，负责全州酒类产业行业管理工作；牵头全州酒类产业发展综合协调服务和重大问题研究，统筹协调全州酒类产业项目建设，负责全州酒类项目专项资金申报管理。</w:t>
      </w:r>
    </w:p>
    <w:p>
      <w:pPr>
        <w:widowControl/>
        <w:numPr>
          <w:ilvl w:val="0"/>
          <w:numId w:val="0"/>
        </w:numPr>
        <w:spacing w:before="183" w:beforeLines="50" w:after="200" w:line="540" w:lineRule="exact"/>
        <w:ind w:left="210" w:leftChars="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lang w:val="en-US" w:eastAsia="zh-CN"/>
        </w:rPr>
        <w:t>20</w:t>
      </w: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rPr>
        <w:t>承办州人民政府办的其他事项。</w:t>
      </w:r>
    </w:p>
    <w:p>
      <w:pPr>
        <w:pStyle w:val="15"/>
        <w:widowControl/>
        <w:spacing w:before="183" w:beforeLines="50" w:after="183" w:afterLines="50" w:line="540" w:lineRule="exact"/>
        <w:ind w:firstLine="560"/>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 xml:space="preserve"> 202</w:t>
      </w:r>
      <w:r>
        <w:rPr>
          <w:rFonts w:hint="eastAsia" w:ascii="宋体" w:hAnsi="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年</w:t>
      </w:r>
      <w:r>
        <w:rPr>
          <w:rFonts w:hint="eastAsia" w:ascii="宋体" w:hAnsi="宋体" w:eastAsia="宋体" w:cs="宋体"/>
          <w:b/>
          <w:bCs/>
          <w:caps w:val="0"/>
          <w:color w:val="auto"/>
          <w:spacing w:val="0"/>
          <w:sz w:val="24"/>
          <w:szCs w:val="24"/>
          <w:shd w:val="clear" w:color="auto" w:fill="FFFFFF"/>
        </w:rPr>
        <w:t>度</w:t>
      </w:r>
      <w:r>
        <w:rPr>
          <w:rFonts w:hint="eastAsia" w:ascii="宋体" w:hAnsi="宋体" w:eastAsia="宋体" w:cs="宋体"/>
          <w:b/>
          <w:bCs/>
          <w:color w:val="auto"/>
          <w:sz w:val="24"/>
          <w:szCs w:val="24"/>
          <w:highlight w:val="none"/>
        </w:rPr>
        <w:t>重点工作</w:t>
      </w:r>
      <w:r>
        <w:rPr>
          <w:rFonts w:hint="eastAsia" w:ascii="宋体" w:hAnsi="宋体" w:cs="宋体"/>
          <w:b/>
          <w:bCs/>
          <w:color w:val="auto"/>
          <w:sz w:val="24"/>
          <w:szCs w:val="24"/>
          <w:highlight w:val="none"/>
          <w:lang w:val="en-US" w:eastAsia="zh-CN"/>
        </w:rPr>
        <w:t>计划及</w:t>
      </w:r>
      <w:r>
        <w:rPr>
          <w:rFonts w:hint="eastAsia" w:ascii="宋体" w:hAnsi="宋体" w:eastAsia="宋体" w:cs="宋体"/>
          <w:b/>
          <w:bCs/>
          <w:color w:val="auto"/>
          <w:sz w:val="24"/>
          <w:szCs w:val="24"/>
          <w:highlight w:val="none"/>
        </w:rPr>
        <w:t>任务</w:t>
      </w:r>
      <w:r>
        <w:rPr>
          <w:rFonts w:hint="eastAsia" w:ascii="宋体" w:hAnsi="宋体" w:cs="宋体"/>
          <w:b/>
          <w:bCs/>
          <w:color w:val="auto"/>
          <w:sz w:val="24"/>
          <w:szCs w:val="24"/>
          <w:highlight w:val="none"/>
          <w:lang w:val="en-US" w:eastAsia="zh-CN"/>
        </w:rPr>
        <w:t>完成情况</w:t>
      </w:r>
    </w:p>
    <w:p>
      <w:pPr>
        <w:pStyle w:val="15"/>
        <w:widowControl/>
        <w:spacing w:before="183" w:beforeLines="50" w:after="183" w:afterLines="50" w:line="540" w:lineRule="exact"/>
        <w:ind w:firstLine="560"/>
        <w:rPr>
          <w:rFonts w:hint="eastAsia" w:asciiTheme="minorEastAsia" w:hAnsiTheme="minorEastAsia" w:eastAsiaTheme="minorEastAsia" w:cstheme="minorEastAsia"/>
          <w:color w:val="auto"/>
          <w:sz w:val="24"/>
          <w:szCs w:val="24"/>
          <w:highlight w:val="none"/>
        </w:rPr>
      </w:pPr>
      <w:bookmarkStart w:id="6" w:name="_Hlk72098383"/>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工业经济平稳增长。2022年全州工业经济呈现高开低走、承压前行的运行态势。规模工业增加值同比增长0.1%，其中制造业增加值占GDP的比重17%，同比提高0.2个百分点。主要关联指标中，工业投资、工业税收、工业贷款分别增长10.1%、10.8%、7.6%，运行基本稳定。</w:t>
      </w:r>
    </w:p>
    <w:p>
      <w:pPr>
        <w:pStyle w:val="15"/>
        <w:widowControl/>
        <w:spacing w:before="183" w:beforeLines="50" w:after="183" w:afterLines="50" w:line="540" w:lineRule="exact"/>
        <w:ind w:firstLine="56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重大项目加快实施。酒鬼酒生产三区、盈田新材料新能源产业园、洪量新材料等一批10亿级重大项目建设进展顺利，全州动态调度的100个工业项目中年内建成投产33个，项目全部达产后预计新增产值35亿元以上，新增利税2亿元以上。其中，2022年实施的2个省“100个重大产品创新强基”项目（浩然公司锂电池、奥科公司增材制造项目）已建成投产</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行业内首次采用粉末冶金工艺开发出的120km/h轨道交通车辆铝基复合材料制动盘、半导体加工用光敏剂等一批科研成果转化项目落户湘西、开工建设。</w:t>
      </w:r>
    </w:p>
    <w:p>
      <w:pPr>
        <w:pStyle w:val="15"/>
        <w:widowControl/>
        <w:spacing w:before="183" w:beforeLines="50" w:after="183" w:afterLines="50" w:line="540" w:lineRule="exact"/>
        <w:ind w:firstLine="56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优势产业支撑有力。全州10条优势产业链“四上企业”实现产值增速4.5%、应纳税收同比增长23.2%。其中，酒业产业链翻番增长，产值接近60亿元，生物医药、绿色食品等传统优势产业实现两位数增长。产业链龙头企业带动有力、串珠成链，酒鬼酒公司完成工业生产总值50.85亿元，同比增长37.5%，上缴税收14.15亿元，同比增长21.4%，强劲牵引了上下游产业链供应链的集群、配套。</w:t>
      </w:r>
    </w:p>
    <w:p>
      <w:pPr>
        <w:pStyle w:val="15"/>
        <w:widowControl/>
        <w:spacing w:before="183" w:beforeLines="50" w:after="183" w:afterLines="50" w:line="540" w:lineRule="exact"/>
        <w:ind w:firstLine="56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工业招商成效明显。工业招商专班积极对接粤港澳大湾区产业转移等战略，先后奔赴广州、深圳、上海、浙江等地市，采取灵活多样的招商方式，聚焦10条优势产业链建设，开展精准招商。2022年全州新招引落地3000万元以上的工业项目40个，合同或协议投资额达102.55亿元。</w:t>
      </w:r>
    </w:p>
    <w:p>
      <w:pPr>
        <w:pStyle w:val="15"/>
        <w:widowControl/>
        <w:spacing w:before="183" w:beforeLines="50" w:after="183" w:afterLines="50" w:line="540" w:lineRule="exact"/>
        <w:ind w:firstLine="56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企业活力不断激发。全州新增规模工业企业35户，规模工业企业总数达到348户。培育新增省级以上专精特新“小巨人”企业14家、省制造业单项冠军企业1家，其中，金昊科技成功申报国家级“小巨人”企业，丰达合金氮化锰获批省制造业单项冠军产品，均实现了零的突破。酒鬼酒公司入选“2022湖南制造业企业100强”，众鑫科技等2家企业成为“湖湘精品”中小企业品牌能力提升试点企业，沃康油业等3家企业成为省级品牌培育试点企业，宏成制药被认定为省消费品工业“三品”标杆企业，鹤盛原烟被认定为省级制造业质量标杆企业。锐阳电子、吉程农机、金昊科技3家企业成功申报省级企业技术中心，全州省级以上制造业领域研发创新平台达到31个</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企业创新发展活力不断激发。</w:t>
      </w:r>
    </w:p>
    <w:p>
      <w:pPr>
        <w:pStyle w:val="15"/>
        <w:widowControl/>
        <w:spacing w:before="183" w:beforeLines="50" w:after="183" w:afterLines="50" w:line="540" w:lineRule="exact"/>
        <w:ind w:firstLine="56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网络基础逐步夯实。全州通信基础设施建设完成投资5.04亿元，完成年度计划的126.1%；建成5G基站822个，完成占比100%。目前，全州5G基站在网数超过4000个，4G基站在网数接近10000个；4G网络行政村覆盖率达到100%、自然村达到92%；乡镇以上行政区、工业园区及重要景点实现5G连续覆盖。全面清理无线电台站数据库，强化无线电管理</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2022年，全州累计换发移动通信基站电子执照20690个，开展无线电监测时长8500余小时,查处不明信号和排除干扰16起。</w:t>
      </w:r>
    </w:p>
    <w:p>
      <w:pPr>
        <w:pStyle w:val="15"/>
        <w:widowControl/>
        <w:spacing w:before="183" w:beforeLines="50" w:after="183" w:afterLines="50" w:line="540" w:lineRule="exact"/>
        <w:ind w:firstLine="56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7</w:t>
      </w:r>
      <w:r>
        <w:rPr>
          <w:rFonts w:hint="eastAsia" w:asciiTheme="minorEastAsia" w:hAnsiTheme="minorEastAsia" w:eastAsiaTheme="minorEastAsia" w:cstheme="minorEastAsia"/>
          <w:color w:val="auto"/>
          <w:sz w:val="24"/>
          <w:szCs w:val="24"/>
          <w:highlight w:val="none"/>
        </w:rPr>
        <w:t>）质量效益显著提升。组建财务、税务、工艺技术、金融等方面的专家团队，上门为亏损企业把脉问诊，助力企业扭亏为盈；累计选派联企干部1867名，走访企业2265家，答复解决企业反映问题2823个，帮助企业化解了一大批“急难愁盼”，促进了惠企政策的落实兑现。2022年全州规模工业企业亏损22户，较年初减少50户；亏损面7.8%，较年初下降14.2个百分点。全州累计清偿拖欠企业账款总额3678.58万元，纳入清欠平台的2021年结转欠款和2022年新增欠款全部清零，欠款清偿率达到100%，有效减轻了企业负担。</w:t>
      </w:r>
    </w:p>
    <w:p>
      <w:pPr>
        <w:pStyle w:val="15"/>
        <w:widowControl/>
        <w:spacing w:before="183" w:beforeLines="50" w:after="183" w:afterLines="50" w:line="540" w:lineRule="exact"/>
        <w:ind w:firstLine="56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8</w:t>
      </w:r>
      <w:r>
        <w:rPr>
          <w:rFonts w:hint="eastAsia" w:asciiTheme="minorEastAsia" w:hAnsiTheme="minorEastAsia" w:eastAsiaTheme="minorEastAsia" w:cstheme="minorEastAsia"/>
          <w:color w:val="auto"/>
          <w:sz w:val="24"/>
          <w:szCs w:val="24"/>
          <w:highlight w:val="none"/>
        </w:rPr>
        <w:t>）制造业数字化发展取得新成效。长潭泵业成功创建省级工业互联网平台，实现了零的突破，为我州加快推动制造业数字化转型树立了标杆，发挥了示范作用。酒鬼酒、奥科2家企业成功申报省制造业“三化”项目，锐阳电子等5家企业获得省移动互联网专项资金支持，长潭泵业等3家企业纳入工业互联网网络安全分类分级管理试点企业。</w:t>
      </w:r>
    </w:p>
    <w:p>
      <w:pPr>
        <w:pStyle w:val="15"/>
        <w:widowControl/>
        <w:spacing w:before="183" w:beforeLines="50" w:after="183" w:afterLines="50" w:line="540" w:lineRule="exact"/>
        <w:ind w:firstLine="56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9</w:t>
      </w:r>
      <w:r>
        <w:rPr>
          <w:rFonts w:hint="eastAsia" w:asciiTheme="minorEastAsia" w:hAnsiTheme="minorEastAsia" w:eastAsiaTheme="minorEastAsia" w:cstheme="minorEastAsia"/>
          <w:color w:val="auto"/>
          <w:sz w:val="24"/>
          <w:szCs w:val="24"/>
          <w:highlight w:val="none"/>
        </w:rPr>
        <w:t>）工业绿色低碳转型实现新突破。指导矿业整治整合取得决定性成效，“废弃厂房”整治任务全面完成。大力推进绿色制造试点示范工程，培育新增州级“绿色工厂”10家、省级绿色工厂2家、省级绿色园区1个。积极推进工业企业清洁生产、节能降耗，全州每万元规模工业增加值能耗0.48吨标准煤，同比下降17.78%。</w:t>
      </w:r>
    </w:p>
    <w:p>
      <w:pPr>
        <w:pStyle w:val="15"/>
        <w:widowControl/>
        <w:spacing w:before="183" w:beforeLines="50" w:after="183" w:afterLines="50" w:line="540" w:lineRule="exact"/>
        <w:ind w:firstLine="56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（二）单位年度整体支出绩效目标</w:t>
      </w:r>
    </w:p>
    <w:p>
      <w:pPr>
        <w:spacing w:line="58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2022年，全州工业和信息化工作积极应对错综复杂的外部环境、多点散发的疫情冲击和持续下行的经济增长压力、矿业整治整合等超预期因素叠加影响，深入贯彻落实“三高四新”战略定位和使命任务，聚焦打造“三区两地”、建设“五个湘西”，大力实施制造强州战略，突出稳增长、保主体、强链群、优服务，全州工业经济实现平稳增长，信息化建设逐步完善，高质量发展迈出坚实步伐。</w:t>
      </w:r>
    </w:p>
    <w:bookmarkEnd w:id="6"/>
    <w:p>
      <w:pPr>
        <w:numPr>
          <w:ilvl w:val="0"/>
          <w:numId w:val="2"/>
        </w:numPr>
        <w:spacing w:line="580" w:lineRule="exact"/>
        <w:ind w:firstLine="480" w:firstLineChars="200"/>
        <w:rPr>
          <w:rFonts w:hint="eastAsia" w:asciiTheme="minorEastAsia" w:hAnsiTheme="minorEastAsia" w:eastAsiaTheme="minorEastAsia" w:cstheme="minorEastAsia"/>
          <w:b w:val="0"/>
          <w:bCs w:val="0"/>
          <w:color w:val="auto"/>
          <w:sz w:val="24"/>
          <w:szCs w:val="24"/>
          <w:highlight w:val="none"/>
          <w:lang w:eastAsia="zh-CN"/>
        </w:rPr>
      </w:pPr>
      <w:r>
        <w:rPr>
          <w:rFonts w:hint="eastAsia" w:asciiTheme="minorEastAsia" w:hAnsiTheme="minorEastAsia" w:eastAsiaTheme="minorEastAsia" w:cstheme="minorEastAsia"/>
          <w:b w:val="0"/>
          <w:bCs w:val="0"/>
          <w:color w:val="auto"/>
          <w:sz w:val="24"/>
          <w:szCs w:val="24"/>
          <w:highlight w:val="none"/>
        </w:rPr>
        <w:t>全州规模工业增加值同比增长0.1%</w:t>
      </w:r>
      <w:r>
        <w:rPr>
          <w:rFonts w:hint="eastAsia" w:asciiTheme="minorEastAsia" w:hAnsiTheme="minorEastAsia" w:eastAsiaTheme="minorEastAsia" w:cstheme="minorEastAsia"/>
          <w:b w:val="0"/>
          <w:bCs w:val="0"/>
          <w:color w:val="auto"/>
          <w:sz w:val="24"/>
          <w:szCs w:val="24"/>
          <w:highlight w:val="none"/>
          <w:lang w:eastAsia="zh-CN"/>
        </w:rPr>
        <w:t>，</w:t>
      </w:r>
      <w:r>
        <w:rPr>
          <w:rFonts w:hint="eastAsia" w:asciiTheme="minorEastAsia" w:hAnsiTheme="minorEastAsia" w:eastAsiaTheme="minorEastAsia" w:cstheme="minorEastAsia"/>
          <w:b w:val="0"/>
          <w:bCs w:val="0"/>
          <w:color w:val="auto"/>
          <w:sz w:val="24"/>
          <w:szCs w:val="24"/>
          <w:highlight w:val="none"/>
          <w:lang w:val="en-US" w:eastAsia="zh-CN"/>
        </w:rPr>
        <w:t>较年初增长</w:t>
      </w:r>
      <w:r>
        <w:rPr>
          <w:rFonts w:hint="eastAsia" w:asciiTheme="minorEastAsia" w:hAnsiTheme="minorEastAsia" w:eastAsiaTheme="minorEastAsia" w:cstheme="minorEastAsia"/>
          <w:b w:val="0"/>
          <w:bCs w:val="0"/>
          <w:color w:val="auto"/>
          <w:sz w:val="24"/>
          <w:szCs w:val="24"/>
          <w:highlight w:val="none"/>
        </w:rPr>
        <w:t>8%以上</w:t>
      </w:r>
      <w:r>
        <w:rPr>
          <w:rFonts w:hint="eastAsia" w:asciiTheme="minorEastAsia" w:hAnsiTheme="minorEastAsia" w:eastAsiaTheme="minorEastAsia" w:cstheme="minorEastAsia"/>
          <w:b w:val="0"/>
          <w:bCs w:val="0"/>
          <w:color w:val="auto"/>
          <w:sz w:val="24"/>
          <w:szCs w:val="24"/>
          <w:highlight w:val="none"/>
          <w:lang w:val="en-US" w:eastAsia="zh-CN"/>
        </w:rPr>
        <w:t>的目标有一点差距，但基本实现平稳增长</w:t>
      </w:r>
      <w:r>
        <w:rPr>
          <w:rFonts w:hint="eastAsia" w:asciiTheme="minorEastAsia" w:hAnsiTheme="minorEastAsia" w:eastAsiaTheme="minorEastAsia" w:cstheme="minorEastAsia"/>
          <w:b w:val="0"/>
          <w:bCs w:val="0"/>
          <w:color w:val="auto"/>
          <w:sz w:val="24"/>
          <w:szCs w:val="24"/>
          <w:highlight w:val="none"/>
          <w:lang w:eastAsia="zh-CN"/>
        </w:rPr>
        <w:t>；</w:t>
      </w:r>
    </w:p>
    <w:p>
      <w:pPr>
        <w:numPr>
          <w:ilvl w:val="0"/>
          <w:numId w:val="2"/>
        </w:numPr>
        <w:spacing w:line="580" w:lineRule="exact"/>
        <w:ind w:firstLine="480" w:firstLineChars="200"/>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制造业占规模工业增加值的比重</w:t>
      </w:r>
      <w:r>
        <w:rPr>
          <w:rFonts w:hint="eastAsia" w:asciiTheme="minorEastAsia" w:hAnsiTheme="minorEastAsia" w:eastAsiaTheme="minorEastAsia" w:cstheme="minorEastAsia"/>
          <w:b w:val="0"/>
          <w:bCs w:val="0"/>
          <w:color w:val="auto"/>
          <w:sz w:val="24"/>
          <w:szCs w:val="24"/>
          <w:highlight w:val="none"/>
          <w:lang w:val="en-US" w:eastAsia="zh-CN"/>
        </w:rPr>
        <w:t>达17%，同比提高0.2%，较年初目标有一定的差距，主要受新冠和国际环境整体影响，经济呈承压前行的运行态势</w:t>
      </w:r>
      <w:r>
        <w:rPr>
          <w:rFonts w:hint="eastAsia" w:asciiTheme="minorEastAsia" w:hAnsiTheme="minorEastAsia" w:eastAsiaTheme="minorEastAsia" w:cstheme="minorEastAsia"/>
          <w:b w:val="0"/>
          <w:bCs w:val="0"/>
          <w:color w:val="auto"/>
          <w:sz w:val="24"/>
          <w:szCs w:val="24"/>
          <w:highlight w:val="none"/>
          <w:lang w:eastAsia="zh-CN"/>
        </w:rPr>
        <w:t>；</w:t>
      </w:r>
    </w:p>
    <w:p>
      <w:pPr>
        <w:numPr>
          <w:ilvl w:val="0"/>
          <w:numId w:val="2"/>
        </w:numPr>
        <w:spacing w:line="580" w:lineRule="exact"/>
        <w:ind w:firstLine="480" w:firstLineChars="200"/>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工业投资增长10.1%</w:t>
      </w:r>
      <w:r>
        <w:rPr>
          <w:rFonts w:hint="eastAsia" w:asciiTheme="minorEastAsia" w:hAnsiTheme="minorEastAsia" w:eastAsiaTheme="minorEastAsia" w:cstheme="minorEastAsia"/>
          <w:b w:val="0"/>
          <w:bCs w:val="0"/>
          <w:color w:val="auto"/>
          <w:sz w:val="24"/>
          <w:szCs w:val="24"/>
          <w:highlight w:val="none"/>
          <w:lang w:eastAsia="zh-CN"/>
        </w:rPr>
        <w:t>，运行基本稳定；</w:t>
      </w:r>
    </w:p>
    <w:p>
      <w:pPr>
        <w:numPr>
          <w:ilvl w:val="0"/>
          <w:numId w:val="2"/>
        </w:numPr>
        <w:spacing w:line="580" w:lineRule="exact"/>
        <w:ind w:firstLine="480" w:firstLineChars="200"/>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全州新增规模工业企业35户，规模工业企业总数达到348户，创历史新高。</w:t>
      </w:r>
    </w:p>
    <w:p>
      <w:pPr>
        <w:numPr>
          <w:ilvl w:val="0"/>
          <w:numId w:val="2"/>
        </w:numPr>
        <w:spacing w:line="580" w:lineRule="exact"/>
        <w:ind w:firstLine="480" w:firstLineChars="200"/>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工业企业品牌试点示范、标杆创建成效突出</w:t>
      </w:r>
      <w:r>
        <w:rPr>
          <w:rFonts w:hint="eastAsia" w:asciiTheme="minorEastAsia" w:hAnsiTheme="minorEastAsia" w:eastAsiaTheme="minorEastAsia" w:cstheme="minorEastAsia"/>
          <w:b w:val="0"/>
          <w:bCs w:val="0"/>
          <w:color w:val="auto"/>
          <w:sz w:val="24"/>
          <w:szCs w:val="24"/>
          <w:highlight w:val="none"/>
          <w:lang w:eastAsia="zh-CN"/>
        </w:rPr>
        <w:t>；酒鬼酒公司入选“2022湖南制造业企业100强”，众鑫科技等2家企业成为“湖湘精品”中小企业品牌能力提升试点企业，沃康油业等3家企业成为省级品牌培育试点企业，宏成制药被认定为省消费品工业“三品”标杆企业，鹤盛原烟被认定为省级制造业质量标杆企业。</w:t>
      </w:r>
    </w:p>
    <w:p>
      <w:pPr>
        <w:numPr>
          <w:ilvl w:val="0"/>
          <w:numId w:val="2"/>
        </w:numPr>
        <w:spacing w:line="580" w:lineRule="exact"/>
        <w:ind w:firstLine="480" w:firstLineChars="200"/>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全州省级以上制造业领域研发创新平台达到31个</w:t>
      </w:r>
      <w:r>
        <w:rPr>
          <w:rFonts w:hint="eastAsia" w:asciiTheme="minorEastAsia" w:hAnsiTheme="minorEastAsia" w:eastAsiaTheme="minorEastAsia" w:cstheme="minorEastAsia"/>
          <w:b w:val="0"/>
          <w:bCs w:val="0"/>
          <w:color w:val="auto"/>
          <w:sz w:val="24"/>
          <w:szCs w:val="24"/>
          <w:highlight w:val="none"/>
          <w:lang w:eastAsia="zh-CN"/>
        </w:rPr>
        <w:t>；</w:t>
      </w:r>
    </w:p>
    <w:p>
      <w:pPr>
        <w:numPr>
          <w:ilvl w:val="0"/>
          <w:numId w:val="2"/>
        </w:numPr>
        <w:spacing w:line="580" w:lineRule="exact"/>
        <w:ind w:firstLine="480" w:firstLineChars="200"/>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全州新招引落地3000万元以上的工业项目40个，合同或协议投资额达102.55亿元。</w:t>
      </w:r>
    </w:p>
    <w:p>
      <w:pPr>
        <w:numPr>
          <w:ilvl w:val="0"/>
          <w:numId w:val="0"/>
        </w:numPr>
        <w:spacing w:line="580" w:lineRule="exact"/>
        <w:ind w:firstLine="241" w:firstLineChars="1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val="en-US" w:eastAsia="zh-CN"/>
        </w:rPr>
        <w:t>二、一般公共预算</w:t>
      </w:r>
      <w:r>
        <w:rPr>
          <w:rFonts w:hint="eastAsia" w:asciiTheme="minorEastAsia" w:hAnsiTheme="minorEastAsia" w:eastAsiaTheme="minorEastAsia" w:cstheme="minorEastAsia"/>
          <w:b/>
          <w:bCs/>
          <w:color w:val="auto"/>
          <w:sz w:val="24"/>
          <w:szCs w:val="24"/>
          <w:highlight w:val="none"/>
        </w:rPr>
        <w:t>支出情况</w:t>
      </w:r>
    </w:p>
    <w:p>
      <w:pPr>
        <w:spacing w:line="600" w:lineRule="exact"/>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202</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本单位年度一般公共预算财政拨款收入年初预算1761.31万元，全年预算7650.85万元，决算数7650.85万元。</w:t>
      </w:r>
    </w:p>
    <w:p>
      <w:pPr>
        <w:spacing w:line="600" w:lineRule="exact"/>
        <w:ind w:firstLine="480" w:firstLineChars="200"/>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2022年，下达</w:t>
      </w:r>
      <w:r>
        <w:rPr>
          <w:rFonts w:hint="eastAsia" w:asciiTheme="minorEastAsia" w:hAnsiTheme="minorEastAsia" w:eastAsiaTheme="minorEastAsia" w:cstheme="minorEastAsia"/>
          <w:color w:val="auto"/>
          <w:sz w:val="24"/>
          <w:szCs w:val="24"/>
          <w:highlight w:val="none"/>
        </w:rPr>
        <w:t>本局支出</w:t>
      </w:r>
      <w:r>
        <w:rPr>
          <w:rFonts w:hint="eastAsia" w:asciiTheme="minorEastAsia" w:hAnsiTheme="minorEastAsia" w:eastAsiaTheme="minorEastAsia" w:cstheme="minorEastAsia"/>
          <w:color w:val="auto"/>
          <w:sz w:val="24"/>
          <w:szCs w:val="24"/>
          <w:highlight w:val="none"/>
          <w:lang w:val="en-US" w:eastAsia="zh-CN"/>
        </w:rPr>
        <w:t>年初预算1761.31</w:t>
      </w:r>
      <w:r>
        <w:rPr>
          <w:rFonts w:hint="eastAsia" w:asciiTheme="minorEastAsia" w:hAnsiTheme="minorEastAsia" w:eastAsiaTheme="minorEastAsia" w:cstheme="minorEastAsia"/>
          <w:color w:val="auto"/>
          <w:sz w:val="24"/>
          <w:szCs w:val="24"/>
          <w:highlight w:val="none"/>
        </w:rPr>
        <w:t>万元</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其中基本支出预算1624.45万元，项目支出136.85万元，均为一般公共预算财政拨款；全年预算数7838.03万元，其中基本支出2776.56万元，项目支出5061.47万元；决算数7831.92万元，其中基本支出2776.56万元，项目支出5055.37万元。</w:t>
      </w:r>
    </w:p>
    <w:p>
      <w:pPr>
        <w:keepNext w:val="0"/>
        <w:keepLines w:val="0"/>
        <w:pageBreakBefore w:val="0"/>
        <w:widowControl w:val="0"/>
        <w:kinsoku/>
        <w:wordWrap/>
        <w:overflowPunct/>
        <w:topLinePunct w:val="0"/>
        <w:autoSpaceDE/>
        <w:autoSpaceDN/>
        <w:bidi w:val="0"/>
        <w:adjustRightInd/>
        <w:snapToGrid/>
        <w:spacing w:before="183" w:beforeLines="50" w:line="240" w:lineRule="auto"/>
        <w:ind w:firstLine="482" w:firstLineChars="200"/>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w:t>
      </w:r>
      <w:r>
        <w:rPr>
          <w:rFonts w:hint="eastAsia" w:asciiTheme="minorEastAsia" w:hAnsiTheme="minorEastAsia" w:eastAsiaTheme="minorEastAsia" w:cstheme="minorEastAsia"/>
          <w:b/>
          <w:bCs/>
          <w:color w:val="auto"/>
          <w:sz w:val="24"/>
          <w:szCs w:val="24"/>
          <w:highlight w:val="none"/>
          <w:lang w:val="en-US" w:eastAsia="zh-CN"/>
        </w:rPr>
        <w:t>一</w:t>
      </w:r>
      <w:r>
        <w:rPr>
          <w:rFonts w:hint="eastAsia" w:asciiTheme="minorEastAsia" w:hAnsiTheme="minorEastAsia" w:eastAsiaTheme="minorEastAsia" w:cstheme="minorEastAsia"/>
          <w:b/>
          <w:bCs/>
          <w:color w:val="auto"/>
          <w:sz w:val="24"/>
          <w:szCs w:val="24"/>
          <w:highlight w:val="none"/>
        </w:rPr>
        <w:t>）基本支出情况</w:t>
      </w:r>
    </w:p>
    <w:p>
      <w:pPr>
        <w:spacing w:line="600" w:lineRule="exact"/>
        <w:ind w:firstLine="643"/>
        <w:rPr>
          <w:rFonts w:hint="eastAsia" w:asciiTheme="minorEastAsia" w:hAnsiTheme="minorEastAsia" w:eastAsiaTheme="minorEastAsia" w:cstheme="minorEastAsia"/>
          <w:color w:val="auto"/>
          <w:spacing w:val="-6"/>
          <w:sz w:val="24"/>
          <w:szCs w:val="24"/>
          <w:highlight w:val="none"/>
        </w:rPr>
      </w:pPr>
      <w:r>
        <w:rPr>
          <w:rFonts w:hint="eastAsia" w:asciiTheme="minorEastAsia" w:hAnsiTheme="minorEastAsia" w:eastAsiaTheme="minorEastAsia" w:cstheme="minorEastAsia"/>
          <w:color w:val="auto"/>
          <w:sz w:val="24"/>
          <w:szCs w:val="24"/>
          <w:highlight w:val="none"/>
        </w:rPr>
        <w:t>202</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年基本支出合计</w:t>
      </w:r>
      <w:r>
        <w:rPr>
          <w:rFonts w:hint="eastAsia" w:asciiTheme="minorEastAsia" w:hAnsiTheme="minorEastAsia" w:eastAsiaTheme="minorEastAsia" w:cstheme="minorEastAsia"/>
          <w:color w:val="auto"/>
          <w:sz w:val="24"/>
          <w:szCs w:val="24"/>
          <w:highlight w:val="none"/>
          <w:lang w:val="en-US" w:eastAsia="zh-CN"/>
        </w:rPr>
        <w:t>2834.44</w:t>
      </w:r>
      <w:r>
        <w:rPr>
          <w:rFonts w:hint="eastAsia" w:asciiTheme="minorEastAsia" w:hAnsiTheme="minorEastAsia" w:eastAsiaTheme="minorEastAsia" w:cstheme="minorEastAsia"/>
          <w:color w:val="auto"/>
          <w:sz w:val="24"/>
          <w:szCs w:val="24"/>
          <w:highlight w:val="none"/>
        </w:rPr>
        <w:t>万元，其中人员经费</w:t>
      </w:r>
      <w:r>
        <w:rPr>
          <w:rFonts w:hint="eastAsia" w:asciiTheme="minorEastAsia" w:hAnsiTheme="minorEastAsia" w:eastAsiaTheme="minorEastAsia" w:cstheme="minorEastAsia"/>
          <w:color w:val="auto"/>
          <w:sz w:val="24"/>
          <w:szCs w:val="24"/>
          <w:highlight w:val="none"/>
          <w:lang w:val="en-US" w:eastAsia="zh-CN"/>
        </w:rPr>
        <w:t>2470.10</w:t>
      </w:r>
      <w:r>
        <w:rPr>
          <w:rFonts w:hint="eastAsia" w:asciiTheme="minorEastAsia" w:hAnsiTheme="minorEastAsia" w:eastAsiaTheme="minorEastAsia" w:cstheme="minorEastAsia"/>
          <w:color w:val="auto"/>
          <w:sz w:val="24"/>
          <w:szCs w:val="24"/>
          <w:highlight w:val="none"/>
        </w:rPr>
        <w:t>万元，公用经费</w:t>
      </w:r>
      <w:r>
        <w:rPr>
          <w:rFonts w:hint="eastAsia" w:asciiTheme="minorEastAsia" w:hAnsiTheme="minorEastAsia" w:eastAsiaTheme="minorEastAsia" w:cstheme="minorEastAsia"/>
          <w:color w:val="auto"/>
          <w:sz w:val="24"/>
          <w:szCs w:val="24"/>
          <w:highlight w:val="none"/>
          <w:lang w:val="en-US" w:eastAsia="zh-CN"/>
        </w:rPr>
        <w:t>364.35</w:t>
      </w:r>
      <w:r>
        <w:rPr>
          <w:rFonts w:hint="eastAsia" w:asciiTheme="minorEastAsia" w:hAnsiTheme="minorEastAsia" w:eastAsiaTheme="minorEastAsia" w:cstheme="minorEastAsia"/>
          <w:color w:val="auto"/>
          <w:sz w:val="24"/>
          <w:szCs w:val="24"/>
          <w:highlight w:val="none"/>
        </w:rPr>
        <w:t>万元；主要用于一般公共服务支出</w:t>
      </w:r>
      <w:r>
        <w:rPr>
          <w:rFonts w:hint="eastAsia" w:asciiTheme="minorEastAsia" w:hAnsiTheme="minorEastAsia" w:eastAsiaTheme="minorEastAsia" w:cstheme="minorEastAsia"/>
          <w:color w:val="auto"/>
          <w:sz w:val="24"/>
          <w:szCs w:val="24"/>
          <w:highlight w:val="none"/>
          <w:lang w:val="en-US" w:eastAsia="zh-CN"/>
        </w:rPr>
        <w:t>1722.60</w:t>
      </w:r>
      <w:r>
        <w:rPr>
          <w:rFonts w:hint="eastAsia" w:asciiTheme="minorEastAsia" w:hAnsiTheme="minorEastAsia" w:eastAsiaTheme="minorEastAsia" w:cstheme="minorEastAsia"/>
          <w:color w:val="auto"/>
          <w:sz w:val="24"/>
          <w:szCs w:val="24"/>
          <w:highlight w:val="none"/>
        </w:rPr>
        <w:t>万元、教育支出</w:t>
      </w:r>
      <w:r>
        <w:rPr>
          <w:rFonts w:hint="eastAsia" w:asciiTheme="minorEastAsia" w:hAnsiTheme="minorEastAsia" w:eastAsiaTheme="minorEastAsia" w:cstheme="minorEastAsia"/>
          <w:color w:val="auto"/>
          <w:sz w:val="24"/>
          <w:szCs w:val="24"/>
          <w:highlight w:val="none"/>
          <w:lang w:val="en-US" w:eastAsia="zh-CN"/>
        </w:rPr>
        <w:t>1237.73</w:t>
      </w:r>
      <w:r>
        <w:rPr>
          <w:rFonts w:hint="eastAsia" w:asciiTheme="minorEastAsia" w:hAnsiTheme="minorEastAsia" w:eastAsiaTheme="minorEastAsia" w:cstheme="minorEastAsia"/>
          <w:color w:val="auto"/>
          <w:sz w:val="24"/>
          <w:szCs w:val="24"/>
          <w:highlight w:val="none"/>
        </w:rPr>
        <w:t>万元、</w:t>
      </w:r>
      <w:r>
        <w:rPr>
          <w:rFonts w:hint="eastAsia" w:asciiTheme="minorEastAsia" w:hAnsiTheme="minorEastAsia" w:eastAsiaTheme="minorEastAsia" w:cstheme="minorEastAsia"/>
          <w:color w:val="auto"/>
          <w:sz w:val="24"/>
          <w:szCs w:val="24"/>
          <w:highlight w:val="none"/>
          <w:lang w:val="en-US" w:eastAsia="zh-CN"/>
        </w:rPr>
        <w:t>科学技术支出30万元、</w:t>
      </w:r>
      <w:r>
        <w:rPr>
          <w:rFonts w:hint="eastAsia" w:asciiTheme="minorEastAsia" w:hAnsiTheme="minorEastAsia" w:eastAsiaTheme="minorEastAsia" w:cstheme="minorEastAsia"/>
          <w:color w:val="auto"/>
          <w:sz w:val="24"/>
          <w:szCs w:val="24"/>
          <w:highlight w:val="none"/>
        </w:rPr>
        <w:t>社会保障和就业支出</w:t>
      </w:r>
      <w:r>
        <w:rPr>
          <w:rFonts w:hint="eastAsia" w:asciiTheme="minorEastAsia" w:hAnsiTheme="minorEastAsia" w:eastAsiaTheme="minorEastAsia" w:cstheme="minorEastAsia"/>
          <w:color w:val="auto"/>
          <w:sz w:val="24"/>
          <w:szCs w:val="24"/>
          <w:highlight w:val="none"/>
          <w:lang w:val="en-US" w:eastAsia="zh-CN"/>
        </w:rPr>
        <w:t>659.78</w:t>
      </w:r>
      <w:r>
        <w:rPr>
          <w:rFonts w:hint="eastAsia" w:asciiTheme="minorEastAsia" w:hAnsiTheme="minorEastAsia" w:eastAsiaTheme="minorEastAsia" w:cstheme="minorEastAsia"/>
          <w:color w:val="auto"/>
          <w:sz w:val="24"/>
          <w:szCs w:val="24"/>
          <w:highlight w:val="none"/>
        </w:rPr>
        <w:t>万元、卫生健康支出</w:t>
      </w:r>
      <w:r>
        <w:rPr>
          <w:rFonts w:hint="eastAsia" w:asciiTheme="minorEastAsia" w:hAnsiTheme="minorEastAsia" w:eastAsiaTheme="minorEastAsia" w:cstheme="minorEastAsia"/>
          <w:color w:val="auto"/>
          <w:sz w:val="24"/>
          <w:szCs w:val="24"/>
          <w:highlight w:val="none"/>
          <w:lang w:val="en-US" w:eastAsia="zh-CN"/>
        </w:rPr>
        <w:t>670.33</w:t>
      </w:r>
      <w:r>
        <w:rPr>
          <w:rFonts w:hint="eastAsia" w:asciiTheme="minorEastAsia" w:hAnsiTheme="minorEastAsia" w:eastAsiaTheme="minorEastAsia" w:cstheme="minorEastAsia"/>
          <w:color w:val="auto"/>
          <w:sz w:val="24"/>
          <w:szCs w:val="24"/>
          <w:highlight w:val="none"/>
        </w:rPr>
        <w:t>万元、资源勘探工业信息等支出</w:t>
      </w:r>
      <w:r>
        <w:rPr>
          <w:rFonts w:hint="eastAsia" w:asciiTheme="minorEastAsia" w:hAnsiTheme="minorEastAsia" w:eastAsiaTheme="minorEastAsia" w:cstheme="minorEastAsia"/>
          <w:color w:val="auto"/>
          <w:sz w:val="24"/>
          <w:szCs w:val="24"/>
          <w:highlight w:val="none"/>
          <w:lang w:val="en-US" w:eastAsia="zh-CN"/>
        </w:rPr>
        <w:t>3824.67</w:t>
      </w:r>
      <w:r>
        <w:rPr>
          <w:rFonts w:hint="eastAsia" w:asciiTheme="minorEastAsia" w:hAnsiTheme="minorEastAsia" w:eastAsiaTheme="minorEastAsia" w:cstheme="minorEastAsia"/>
          <w:color w:val="auto"/>
          <w:sz w:val="24"/>
          <w:szCs w:val="24"/>
          <w:highlight w:val="none"/>
        </w:rPr>
        <w:t>万元、住房保障支出</w:t>
      </w:r>
      <w:r>
        <w:rPr>
          <w:rFonts w:hint="eastAsia" w:asciiTheme="minorEastAsia" w:hAnsiTheme="minorEastAsia" w:eastAsiaTheme="minorEastAsia" w:cstheme="minorEastAsia"/>
          <w:color w:val="auto"/>
          <w:spacing w:val="-6"/>
          <w:sz w:val="24"/>
          <w:szCs w:val="24"/>
          <w:highlight w:val="none"/>
          <w:lang w:val="en-US" w:eastAsia="zh-CN"/>
        </w:rPr>
        <w:t>85.11</w:t>
      </w:r>
      <w:r>
        <w:rPr>
          <w:rFonts w:hint="eastAsia" w:asciiTheme="minorEastAsia" w:hAnsiTheme="minorEastAsia" w:eastAsiaTheme="minorEastAsia" w:cstheme="minorEastAsia"/>
          <w:color w:val="auto"/>
          <w:spacing w:val="-6"/>
          <w:sz w:val="24"/>
          <w:szCs w:val="24"/>
          <w:highlight w:val="none"/>
        </w:rPr>
        <w:t>万元</w:t>
      </w:r>
      <w:r>
        <w:rPr>
          <w:rFonts w:hint="eastAsia" w:asciiTheme="minorEastAsia" w:hAnsiTheme="minorEastAsia" w:eastAsiaTheme="minorEastAsia" w:cstheme="minorEastAsia"/>
          <w:color w:val="auto"/>
          <w:spacing w:val="-6"/>
          <w:sz w:val="24"/>
          <w:szCs w:val="24"/>
          <w:highlight w:val="none"/>
          <w:lang w:eastAsia="zh-CN"/>
        </w:rPr>
        <w:t>、</w:t>
      </w:r>
      <w:r>
        <w:rPr>
          <w:rFonts w:hint="eastAsia" w:asciiTheme="minorEastAsia" w:hAnsiTheme="minorEastAsia" w:eastAsiaTheme="minorEastAsia" w:cstheme="minorEastAsia"/>
          <w:color w:val="auto"/>
          <w:spacing w:val="-6"/>
          <w:sz w:val="24"/>
          <w:szCs w:val="24"/>
          <w:highlight w:val="none"/>
          <w:lang w:val="en-US" w:eastAsia="zh-CN"/>
        </w:rPr>
        <w:t>其他支出631.28万元</w:t>
      </w:r>
      <w:r>
        <w:rPr>
          <w:rFonts w:hint="eastAsia" w:asciiTheme="minorEastAsia" w:hAnsiTheme="minorEastAsia" w:eastAsiaTheme="minorEastAsia" w:cstheme="minorEastAsia"/>
          <w:color w:val="auto"/>
          <w:spacing w:val="-6"/>
          <w:sz w:val="24"/>
          <w:szCs w:val="24"/>
          <w:highlight w:val="none"/>
        </w:rPr>
        <w:t>，</w:t>
      </w:r>
      <w:r>
        <w:rPr>
          <w:rFonts w:hint="eastAsia" w:asciiTheme="minorEastAsia" w:hAnsiTheme="minorEastAsia" w:eastAsiaTheme="minorEastAsia" w:cstheme="minorEastAsia"/>
          <w:color w:val="auto"/>
          <w:spacing w:val="-6"/>
          <w:sz w:val="24"/>
          <w:szCs w:val="24"/>
          <w:highlight w:val="none"/>
          <w:lang w:val="en-US" w:eastAsia="zh-CN"/>
        </w:rPr>
        <w:t>以上资金支出</w:t>
      </w:r>
      <w:r>
        <w:rPr>
          <w:rFonts w:hint="eastAsia" w:asciiTheme="minorEastAsia" w:hAnsiTheme="minorEastAsia" w:eastAsiaTheme="minorEastAsia" w:cstheme="minorEastAsia"/>
          <w:color w:val="auto"/>
          <w:spacing w:val="-6"/>
          <w:sz w:val="24"/>
          <w:szCs w:val="24"/>
          <w:highlight w:val="none"/>
        </w:rPr>
        <w:t>均按财政部门要求进行使用和管理。</w:t>
      </w:r>
    </w:p>
    <w:p>
      <w:pPr>
        <w:spacing w:line="600" w:lineRule="exact"/>
        <w:ind w:firstLine="643"/>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按科目分类年度工资福利支出</w:t>
      </w:r>
      <w:r>
        <w:rPr>
          <w:rFonts w:hint="eastAsia" w:asciiTheme="minorEastAsia" w:hAnsiTheme="minorEastAsia" w:eastAsiaTheme="minorEastAsia" w:cstheme="minorEastAsia"/>
          <w:color w:val="auto"/>
          <w:sz w:val="24"/>
          <w:szCs w:val="24"/>
          <w:highlight w:val="none"/>
          <w:lang w:val="en-US" w:eastAsia="zh-CN"/>
        </w:rPr>
        <w:t>1567.51</w:t>
      </w:r>
      <w:r>
        <w:rPr>
          <w:rFonts w:hint="eastAsia" w:asciiTheme="minorEastAsia" w:hAnsiTheme="minorEastAsia" w:eastAsiaTheme="minorEastAsia" w:cstheme="minorEastAsia"/>
          <w:color w:val="auto"/>
          <w:sz w:val="24"/>
          <w:szCs w:val="24"/>
          <w:highlight w:val="none"/>
        </w:rPr>
        <w:t>万元，商品服务支出</w:t>
      </w:r>
      <w:r>
        <w:rPr>
          <w:rFonts w:hint="eastAsia" w:asciiTheme="minorEastAsia" w:hAnsiTheme="minorEastAsia" w:eastAsiaTheme="minorEastAsia" w:cstheme="minorEastAsia"/>
          <w:color w:val="auto"/>
          <w:sz w:val="24"/>
          <w:szCs w:val="24"/>
          <w:highlight w:val="none"/>
          <w:lang w:val="en-US" w:eastAsia="zh-CN"/>
        </w:rPr>
        <w:t>363.27</w:t>
      </w:r>
      <w:r>
        <w:rPr>
          <w:rFonts w:hint="eastAsia" w:asciiTheme="minorEastAsia" w:hAnsiTheme="minorEastAsia" w:eastAsiaTheme="minorEastAsia" w:cstheme="minorEastAsia"/>
          <w:color w:val="auto"/>
          <w:sz w:val="24"/>
          <w:szCs w:val="24"/>
          <w:highlight w:val="none"/>
        </w:rPr>
        <w:t>万元，对个人与家庭补助支出</w:t>
      </w:r>
      <w:r>
        <w:rPr>
          <w:rFonts w:hint="eastAsia" w:asciiTheme="minorEastAsia" w:hAnsiTheme="minorEastAsia" w:eastAsiaTheme="minorEastAsia" w:cstheme="minorEastAsia"/>
          <w:color w:val="auto"/>
          <w:sz w:val="24"/>
          <w:szCs w:val="24"/>
          <w:highlight w:val="none"/>
          <w:lang w:val="en-US" w:eastAsia="zh-CN"/>
        </w:rPr>
        <w:t>902.59</w:t>
      </w:r>
      <w:r>
        <w:rPr>
          <w:rFonts w:hint="eastAsia" w:asciiTheme="minorEastAsia" w:hAnsiTheme="minorEastAsia" w:eastAsiaTheme="minorEastAsia" w:cstheme="minorEastAsia"/>
          <w:color w:val="auto"/>
          <w:sz w:val="24"/>
          <w:szCs w:val="24"/>
          <w:highlight w:val="none"/>
        </w:rPr>
        <w:t>万元，资本性支出</w:t>
      </w:r>
      <w:r>
        <w:rPr>
          <w:rFonts w:hint="eastAsia" w:asciiTheme="minorEastAsia" w:hAnsiTheme="minorEastAsia" w:eastAsiaTheme="minorEastAsia" w:cstheme="minorEastAsia"/>
          <w:color w:val="auto"/>
          <w:sz w:val="24"/>
          <w:szCs w:val="24"/>
          <w:highlight w:val="none"/>
          <w:lang w:val="en-US" w:eastAsia="zh-CN"/>
        </w:rPr>
        <w:t>10.80</w:t>
      </w:r>
      <w:r>
        <w:rPr>
          <w:rFonts w:hint="eastAsia" w:asciiTheme="minorEastAsia" w:hAnsiTheme="minorEastAsia" w:eastAsiaTheme="minorEastAsia" w:cstheme="minorEastAsia"/>
          <w:color w:val="auto"/>
          <w:sz w:val="24"/>
          <w:szCs w:val="24"/>
          <w:highlight w:val="none"/>
        </w:rPr>
        <w:t>万元</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支出合计</w:t>
      </w:r>
      <w:r>
        <w:rPr>
          <w:rFonts w:hint="eastAsia" w:asciiTheme="minorEastAsia" w:hAnsiTheme="minorEastAsia" w:eastAsiaTheme="minorEastAsia" w:cstheme="minorEastAsia"/>
          <w:color w:val="auto"/>
          <w:sz w:val="24"/>
          <w:szCs w:val="24"/>
          <w:highlight w:val="none"/>
          <w:lang w:val="en-US" w:eastAsia="zh-CN"/>
        </w:rPr>
        <w:t>2834.44</w:t>
      </w:r>
      <w:r>
        <w:rPr>
          <w:rFonts w:hint="eastAsia" w:asciiTheme="minorEastAsia" w:hAnsiTheme="minorEastAsia" w:eastAsiaTheme="minorEastAsia" w:cstheme="minorEastAsia"/>
          <w:color w:val="auto"/>
          <w:sz w:val="24"/>
          <w:szCs w:val="24"/>
          <w:highlight w:val="none"/>
        </w:rPr>
        <w:t>万元。</w:t>
      </w:r>
    </w:p>
    <w:tbl>
      <w:tblPr>
        <w:tblStyle w:val="9"/>
        <w:tblpPr w:leftFromText="180" w:rightFromText="180" w:vertAnchor="text" w:horzAnchor="page" w:tblpX="1877" w:tblpY="602"/>
        <w:tblOverlap w:val="never"/>
        <w:tblW w:w="89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851"/>
        <w:gridCol w:w="2835"/>
        <w:gridCol w:w="1984"/>
        <w:gridCol w:w="1701"/>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43" w:hRule="atLeast"/>
        </w:trPr>
        <w:tc>
          <w:tcPr>
            <w:tcW w:w="851" w:type="dxa"/>
            <w:shd w:val="clear" w:color="auto" w:fill="FFFFFF"/>
            <w:tcMar>
              <w:left w:w="108" w:type="dxa"/>
              <w:right w:w="108" w:type="dxa"/>
            </w:tcMar>
            <w:vAlign w:val="center"/>
          </w:tcPr>
          <w:p>
            <w:pPr>
              <w:widowControl/>
              <w:spacing w:line="440" w:lineRule="atLeast"/>
              <w:jc w:val="center"/>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序号</w:t>
            </w:r>
          </w:p>
        </w:tc>
        <w:tc>
          <w:tcPr>
            <w:tcW w:w="2835" w:type="dxa"/>
            <w:shd w:val="clear" w:color="auto" w:fill="FFFFFF"/>
            <w:vAlign w:val="center"/>
          </w:tcPr>
          <w:p>
            <w:pPr>
              <w:widowControl/>
              <w:spacing w:line="440" w:lineRule="atLeast"/>
              <w:jc w:val="center"/>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lang w:bidi="ar"/>
              </w:rPr>
              <w:t>支出项目</w:t>
            </w:r>
          </w:p>
        </w:tc>
        <w:tc>
          <w:tcPr>
            <w:tcW w:w="1984" w:type="dxa"/>
            <w:shd w:val="clear" w:color="auto" w:fill="FFFFFF"/>
            <w:tcMar>
              <w:left w:w="108" w:type="dxa"/>
              <w:right w:w="108" w:type="dxa"/>
            </w:tcMar>
            <w:vAlign w:val="center"/>
          </w:tcPr>
          <w:p>
            <w:pPr>
              <w:widowControl/>
              <w:spacing w:line="440" w:lineRule="atLeast"/>
              <w:jc w:val="center"/>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lang w:bidi="ar"/>
              </w:rPr>
              <w:t>202</w:t>
            </w:r>
            <w:r>
              <w:rPr>
                <w:rFonts w:hint="eastAsia" w:asciiTheme="minorEastAsia" w:hAnsiTheme="minorEastAsia" w:eastAsiaTheme="minorEastAsia" w:cstheme="minorEastAsia"/>
                <w:b/>
                <w:color w:val="auto"/>
                <w:kern w:val="0"/>
                <w:sz w:val="21"/>
                <w:szCs w:val="21"/>
                <w:highlight w:val="none"/>
                <w:lang w:val="en-US" w:eastAsia="zh-CN" w:bidi="ar"/>
              </w:rPr>
              <w:t>2</w:t>
            </w:r>
            <w:r>
              <w:rPr>
                <w:rFonts w:hint="eastAsia" w:asciiTheme="minorEastAsia" w:hAnsiTheme="minorEastAsia" w:eastAsiaTheme="minorEastAsia" w:cstheme="minorEastAsia"/>
                <w:b/>
                <w:color w:val="auto"/>
                <w:kern w:val="0"/>
                <w:sz w:val="21"/>
                <w:szCs w:val="21"/>
                <w:highlight w:val="none"/>
                <w:lang w:bidi="ar"/>
              </w:rPr>
              <w:t>年（万元）</w:t>
            </w:r>
          </w:p>
        </w:tc>
        <w:tc>
          <w:tcPr>
            <w:tcW w:w="1701" w:type="dxa"/>
            <w:shd w:val="clear" w:color="auto" w:fill="FFFFFF"/>
            <w:vAlign w:val="center"/>
          </w:tcPr>
          <w:p>
            <w:pPr>
              <w:widowControl/>
              <w:spacing w:line="440" w:lineRule="atLeast"/>
              <w:jc w:val="center"/>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lang w:bidi="ar"/>
              </w:rPr>
              <w:t>20</w:t>
            </w:r>
            <w:r>
              <w:rPr>
                <w:rFonts w:hint="eastAsia" w:asciiTheme="minorEastAsia" w:hAnsiTheme="minorEastAsia" w:eastAsiaTheme="minorEastAsia" w:cstheme="minorEastAsia"/>
                <w:b/>
                <w:color w:val="auto"/>
                <w:kern w:val="0"/>
                <w:sz w:val="21"/>
                <w:szCs w:val="21"/>
                <w:highlight w:val="none"/>
                <w:lang w:val="en-US" w:eastAsia="zh-CN" w:bidi="ar"/>
              </w:rPr>
              <w:t>21</w:t>
            </w:r>
            <w:r>
              <w:rPr>
                <w:rFonts w:hint="eastAsia" w:asciiTheme="minorEastAsia" w:hAnsiTheme="minorEastAsia" w:eastAsiaTheme="minorEastAsia" w:cstheme="minorEastAsia"/>
                <w:b/>
                <w:color w:val="auto"/>
                <w:kern w:val="0"/>
                <w:sz w:val="21"/>
                <w:szCs w:val="21"/>
                <w:highlight w:val="none"/>
                <w:lang w:bidi="ar"/>
              </w:rPr>
              <w:t>年（万元）</w:t>
            </w:r>
          </w:p>
        </w:tc>
        <w:tc>
          <w:tcPr>
            <w:tcW w:w="1560" w:type="dxa"/>
            <w:shd w:val="clear" w:color="auto" w:fill="FFFFFF"/>
            <w:vAlign w:val="center"/>
          </w:tcPr>
          <w:p>
            <w:pPr>
              <w:widowControl/>
              <w:spacing w:line="440" w:lineRule="atLeast"/>
              <w:jc w:val="center"/>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增减额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43" w:hRule="atLeast"/>
        </w:trPr>
        <w:tc>
          <w:tcPr>
            <w:tcW w:w="851" w:type="dxa"/>
            <w:shd w:val="clear" w:color="auto" w:fill="FFFFFF"/>
            <w:tcMar>
              <w:left w:w="108" w:type="dxa"/>
              <w:right w:w="108" w:type="dxa"/>
            </w:tcMar>
            <w:vAlign w:val="center"/>
          </w:tcPr>
          <w:p>
            <w:pPr>
              <w:widowControl/>
              <w:jc w:val="center"/>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1</w:t>
            </w:r>
          </w:p>
        </w:tc>
        <w:tc>
          <w:tcPr>
            <w:tcW w:w="2835" w:type="dxa"/>
            <w:shd w:val="clear" w:color="auto" w:fill="FFFFFF"/>
            <w:vAlign w:val="center"/>
          </w:tcPr>
          <w:p>
            <w:pPr>
              <w:widowControl/>
              <w:jc w:val="center"/>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工资福利支出</w:t>
            </w:r>
          </w:p>
        </w:tc>
        <w:tc>
          <w:tcPr>
            <w:tcW w:w="1984" w:type="dxa"/>
            <w:shd w:val="clear" w:color="auto" w:fill="FFFFFF"/>
            <w:tcMar>
              <w:left w:w="108" w:type="dxa"/>
              <w:right w:w="108" w:type="dxa"/>
            </w:tcMar>
            <w:vAlign w:val="center"/>
          </w:tcPr>
          <w:p>
            <w:pPr>
              <w:widowControl/>
              <w:jc w:val="center"/>
              <w:rPr>
                <w:rFonts w:hint="default" w:asciiTheme="minorEastAsia" w:hAnsiTheme="minorEastAsia" w:eastAsiaTheme="minorEastAsia" w:cstheme="minorEastAsia"/>
                <w:b w:val="0"/>
                <w:bCs w:val="0"/>
                <w:color w:val="auto"/>
                <w:kern w:val="0"/>
                <w:sz w:val="21"/>
                <w:szCs w:val="21"/>
                <w:highlight w:val="none"/>
                <w:lang w:val="en-US" w:eastAsia="zh-CN"/>
              </w:rPr>
            </w:pPr>
            <w:r>
              <w:rPr>
                <w:rFonts w:hint="eastAsia" w:asciiTheme="minorEastAsia" w:hAnsiTheme="minorEastAsia" w:eastAsiaTheme="minorEastAsia" w:cstheme="minorEastAsia"/>
                <w:b w:val="0"/>
                <w:bCs w:val="0"/>
                <w:color w:val="auto"/>
                <w:kern w:val="0"/>
                <w:sz w:val="21"/>
                <w:szCs w:val="21"/>
                <w:highlight w:val="none"/>
                <w:lang w:val="en-US" w:eastAsia="zh-CN"/>
              </w:rPr>
              <w:t>1567.51</w:t>
            </w:r>
          </w:p>
        </w:tc>
        <w:tc>
          <w:tcPr>
            <w:tcW w:w="1701" w:type="dxa"/>
            <w:shd w:val="clear" w:color="auto" w:fill="FFFFFF"/>
            <w:vAlign w:val="center"/>
          </w:tcPr>
          <w:p>
            <w:pPr>
              <w:widowControl/>
              <w:jc w:val="center"/>
              <w:rPr>
                <w:rFonts w:hint="default" w:asciiTheme="minorEastAsia" w:hAnsiTheme="minorEastAsia" w:eastAsiaTheme="minorEastAsia" w:cstheme="minorEastAsia"/>
                <w:b w:val="0"/>
                <w:bCs w:val="0"/>
                <w:color w:val="auto"/>
                <w:kern w:val="0"/>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1097.82</w:t>
            </w:r>
          </w:p>
        </w:tc>
        <w:tc>
          <w:tcPr>
            <w:tcW w:w="1560" w:type="dxa"/>
            <w:shd w:val="clear" w:color="auto" w:fill="FFFFFF"/>
            <w:vAlign w:val="center"/>
          </w:tcPr>
          <w:p>
            <w:pPr>
              <w:widowControl/>
              <w:jc w:val="center"/>
              <w:rPr>
                <w:rFonts w:hint="default" w:asciiTheme="minorEastAsia" w:hAnsiTheme="minorEastAsia" w:eastAsiaTheme="minorEastAsia" w:cstheme="minorEastAsia"/>
                <w:b w:val="0"/>
                <w:bCs w:val="0"/>
                <w:color w:val="auto"/>
                <w:kern w:val="0"/>
                <w:sz w:val="21"/>
                <w:szCs w:val="21"/>
                <w:highlight w:val="none"/>
                <w:lang w:val="en-US" w:eastAsia="zh-CN"/>
              </w:rPr>
            </w:pPr>
            <w:r>
              <w:rPr>
                <w:rFonts w:hint="eastAsia" w:asciiTheme="minorEastAsia" w:hAnsiTheme="minorEastAsia" w:eastAsiaTheme="minorEastAsia" w:cstheme="minorEastAsia"/>
                <w:b w:val="0"/>
                <w:bCs w:val="0"/>
                <w:color w:val="auto"/>
                <w:kern w:val="0"/>
                <w:sz w:val="21"/>
                <w:szCs w:val="21"/>
                <w:highlight w:val="none"/>
                <w:lang w:val="en-US" w:eastAsia="zh-CN"/>
              </w:rPr>
              <w:t>469.69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43" w:hRule="atLeast"/>
        </w:trPr>
        <w:tc>
          <w:tcPr>
            <w:tcW w:w="851" w:type="dxa"/>
            <w:shd w:val="clear" w:color="auto" w:fill="FFFFFF"/>
            <w:tcMar>
              <w:left w:w="108" w:type="dxa"/>
              <w:right w:w="108" w:type="dxa"/>
            </w:tcMar>
            <w:vAlign w:val="center"/>
          </w:tcPr>
          <w:p>
            <w:pPr>
              <w:widowControl/>
              <w:jc w:val="center"/>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2</w:t>
            </w:r>
          </w:p>
        </w:tc>
        <w:tc>
          <w:tcPr>
            <w:tcW w:w="2835" w:type="dxa"/>
            <w:shd w:val="clear" w:color="auto" w:fill="FFFFFF"/>
            <w:vAlign w:val="center"/>
          </w:tcPr>
          <w:p>
            <w:pPr>
              <w:widowControl/>
              <w:jc w:val="center"/>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商品服务支出</w:t>
            </w:r>
          </w:p>
        </w:tc>
        <w:tc>
          <w:tcPr>
            <w:tcW w:w="1984" w:type="dxa"/>
            <w:shd w:val="clear" w:color="auto" w:fill="FFFFFF"/>
            <w:tcMar>
              <w:left w:w="108" w:type="dxa"/>
              <w:right w:w="108" w:type="dxa"/>
            </w:tcMar>
            <w:vAlign w:val="center"/>
          </w:tcPr>
          <w:p>
            <w:pPr>
              <w:widowControl/>
              <w:jc w:val="center"/>
              <w:rPr>
                <w:rFonts w:hint="default" w:asciiTheme="minorEastAsia" w:hAnsiTheme="minorEastAsia" w:eastAsiaTheme="minorEastAsia" w:cstheme="minorEastAsia"/>
                <w:b w:val="0"/>
                <w:bCs w:val="0"/>
                <w:color w:val="auto"/>
                <w:kern w:val="0"/>
                <w:sz w:val="21"/>
                <w:szCs w:val="21"/>
                <w:highlight w:val="none"/>
                <w:lang w:val="en-US" w:eastAsia="zh-CN"/>
              </w:rPr>
            </w:pPr>
            <w:r>
              <w:rPr>
                <w:rFonts w:hint="eastAsia" w:asciiTheme="minorEastAsia" w:hAnsiTheme="minorEastAsia" w:eastAsiaTheme="minorEastAsia" w:cstheme="minorEastAsia"/>
                <w:b w:val="0"/>
                <w:bCs w:val="0"/>
                <w:color w:val="auto"/>
                <w:kern w:val="0"/>
                <w:sz w:val="21"/>
                <w:szCs w:val="21"/>
                <w:highlight w:val="none"/>
                <w:lang w:val="en-US" w:eastAsia="zh-CN"/>
              </w:rPr>
              <w:t>363.27</w:t>
            </w:r>
          </w:p>
        </w:tc>
        <w:tc>
          <w:tcPr>
            <w:tcW w:w="1701" w:type="dxa"/>
            <w:shd w:val="clear" w:color="auto" w:fill="FFFFFF"/>
            <w:vAlign w:val="center"/>
          </w:tcPr>
          <w:p>
            <w:pPr>
              <w:widowControl/>
              <w:jc w:val="center"/>
              <w:rPr>
                <w:rFonts w:hint="default" w:asciiTheme="minorEastAsia" w:hAnsiTheme="minorEastAsia" w:eastAsiaTheme="minorEastAsia" w:cstheme="minorEastAsia"/>
                <w:b w:val="0"/>
                <w:bCs w:val="0"/>
                <w:color w:val="auto"/>
                <w:kern w:val="0"/>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369.86</w:t>
            </w:r>
          </w:p>
        </w:tc>
        <w:tc>
          <w:tcPr>
            <w:tcW w:w="1560" w:type="dxa"/>
            <w:shd w:val="clear" w:color="auto" w:fill="FFFFFF"/>
            <w:vAlign w:val="center"/>
          </w:tcPr>
          <w:p>
            <w:pPr>
              <w:widowControl/>
              <w:jc w:val="center"/>
              <w:rPr>
                <w:rFonts w:hint="default" w:asciiTheme="minorEastAsia" w:hAnsiTheme="minorEastAsia" w:eastAsiaTheme="minorEastAsia" w:cstheme="minorEastAsia"/>
                <w:b w:val="0"/>
                <w:bCs w:val="0"/>
                <w:color w:val="auto"/>
                <w:kern w:val="0"/>
                <w:sz w:val="21"/>
                <w:szCs w:val="21"/>
                <w:highlight w:val="none"/>
                <w:lang w:val="en-US" w:eastAsia="zh-CN"/>
              </w:rPr>
            </w:pPr>
            <w:r>
              <w:rPr>
                <w:rFonts w:hint="eastAsia" w:asciiTheme="minorEastAsia" w:hAnsiTheme="minorEastAsia" w:eastAsiaTheme="minorEastAsia" w:cstheme="minorEastAsia"/>
                <w:b w:val="0"/>
                <w:bCs w:val="0"/>
                <w:color w:val="auto"/>
                <w:kern w:val="0"/>
                <w:sz w:val="21"/>
                <w:szCs w:val="21"/>
                <w:highlight w:val="none"/>
                <w:lang w:val="en-US" w:eastAsia="zh-CN"/>
              </w:rPr>
              <w:t>-6.59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43" w:hRule="atLeast"/>
        </w:trPr>
        <w:tc>
          <w:tcPr>
            <w:tcW w:w="851" w:type="dxa"/>
            <w:shd w:val="clear" w:color="auto" w:fill="FFFFFF"/>
            <w:tcMar>
              <w:left w:w="108" w:type="dxa"/>
              <w:right w:w="108" w:type="dxa"/>
            </w:tcMar>
            <w:vAlign w:val="center"/>
          </w:tcPr>
          <w:p>
            <w:pPr>
              <w:widowControl/>
              <w:jc w:val="center"/>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3</w:t>
            </w:r>
          </w:p>
        </w:tc>
        <w:tc>
          <w:tcPr>
            <w:tcW w:w="2835" w:type="dxa"/>
            <w:shd w:val="clear" w:color="auto" w:fill="FFFFFF"/>
            <w:vAlign w:val="center"/>
          </w:tcPr>
          <w:p>
            <w:pPr>
              <w:widowControl/>
              <w:jc w:val="center"/>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对个人与家庭补助支出</w:t>
            </w:r>
          </w:p>
        </w:tc>
        <w:tc>
          <w:tcPr>
            <w:tcW w:w="1984" w:type="dxa"/>
            <w:shd w:val="clear" w:color="auto" w:fill="FFFFFF"/>
            <w:tcMar>
              <w:left w:w="108" w:type="dxa"/>
              <w:right w:w="108" w:type="dxa"/>
            </w:tcMar>
            <w:vAlign w:val="center"/>
          </w:tcPr>
          <w:p>
            <w:pPr>
              <w:widowControl/>
              <w:jc w:val="center"/>
              <w:rPr>
                <w:rFonts w:hint="default" w:asciiTheme="minorEastAsia" w:hAnsiTheme="minorEastAsia" w:eastAsiaTheme="minorEastAsia" w:cstheme="minorEastAsia"/>
                <w:b w:val="0"/>
                <w:bCs w:val="0"/>
                <w:color w:val="auto"/>
                <w:kern w:val="0"/>
                <w:sz w:val="21"/>
                <w:szCs w:val="21"/>
                <w:highlight w:val="none"/>
                <w:lang w:val="en-US" w:eastAsia="zh-CN"/>
              </w:rPr>
            </w:pPr>
            <w:r>
              <w:rPr>
                <w:rFonts w:hint="eastAsia" w:asciiTheme="minorEastAsia" w:hAnsiTheme="minorEastAsia" w:eastAsiaTheme="minorEastAsia" w:cstheme="minorEastAsia"/>
                <w:b w:val="0"/>
                <w:bCs w:val="0"/>
                <w:color w:val="auto"/>
                <w:kern w:val="0"/>
                <w:sz w:val="21"/>
                <w:szCs w:val="21"/>
                <w:highlight w:val="none"/>
                <w:lang w:val="en-US" w:eastAsia="zh-CN"/>
              </w:rPr>
              <w:t>902.58</w:t>
            </w:r>
          </w:p>
        </w:tc>
        <w:tc>
          <w:tcPr>
            <w:tcW w:w="1701" w:type="dxa"/>
            <w:shd w:val="clear" w:color="auto" w:fill="FFFFFF"/>
            <w:vAlign w:val="center"/>
          </w:tcPr>
          <w:p>
            <w:pPr>
              <w:widowControl/>
              <w:jc w:val="center"/>
              <w:rPr>
                <w:rFonts w:hint="default" w:asciiTheme="minorEastAsia" w:hAnsiTheme="minorEastAsia" w:eastAsiaTheme="minorEastAsia" w:cstheme="minorEastAsia"/>
                <w:b w:val="0"/>
                <w:bCs w:val="0"/>
                <w:color w:val="auto"/>
                <w:kern w:val="0"/>
                <w:sz w:val="21"/>
                <w:szCs w:val="21"/>
                <w:highlight w:val="none"/>
                <w:lang w:val="en-US" w:eastAsia="zh-CN"/>
              </w:rPr>
            </w:pPr>
            <w:r>
              <w:rPr>
                <w:rFonts w:hint="eastAsia" w:asciiTheme="minorEastAsia" w:hAnsiTheme="minorEastAsia" w:eastAsiaTheme="minorEastAsia" w:cstheme="minorEastAsia"/>
                <w:b w:val="0"/>
                <w:bCs w:val="0"/>
                <w:color w:val="auto"/>
                <w:kern w:val="0"/>
                <w:sz w:val="21"/>
                <w:szCs w:val="21"/>
                <w:highlight w:val="none"/>
                <w:lang w:val="en-US" w:eastAsia="zh-CN"/>
              </w:rPr>
              <w:t>1022.14</w:t>
            </w:r>
          </w:p>
        </w:tc>
        <w:tc>
          <w:tcPr>
            <w:tcW w:w="1560" w:type="dxa"/>
            <w:shd w:val="clear" w:color="auto" w:fill="FFFFFF"/>
            <w:vAlign w:val="center"/>
          </w:tcPr>
          <w:p>
            <w:pPr>
              <w:widowControl/>
              <w:jc w:val="center"/>
              <w:rPr>
                <w:rFonts w:hint="default" w:asciiTheme="minorEastAsia" w:hAnsiTheme="minorEastAsia" w:eastAsiaTheme="minorEastAsia" w:cstheme="minorEastAsia"/>
                <w:b w:val="0"/>
                <w:bCs w:val="0"/>
                <w:color w:val="auto"/>
                <w:kern w:val="0"/>
                <w:sz w:val="21"/>
                <w:szCs w:val="21"/>
                <w:highlight w:val="none"/>
                <w:lang w:val="en-US" w:eastAsia="zh-CN"/>
              </w:rPr>
            </w:pPr>
            <w:r>
              <w:rPr>
                <w:rFonts w:hint="eastAsia" w:asciiTheme="minorEastAsia" w:hAnsiTheme="minorEastAsia" w:eastAsiaTheme="minorEastAsia" w:cstheme="minorEastAsia"/>
                <w:b w:val="0"/>
                <w:bCs w:val="0"/>
                <w:color w:val="auto"/>
                <w:kern w:val="0"/>
                <w:sz w:val="21"/>
                <w:szCs w:val="21"/>
                <w:highlight w:val="none"/>
                <w:lang w:val="en-US" w:eastAsia="zh-CN"/>
              </w:rPr>
              <w:t>-119.56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43" w:hRule="atLeast"/>
        </w:trPr>
        <w:tc>
          <w:tcPr>
            <w:tcW w:w="851" w:type="dxa"/>
            <w:shd w:val="clear" w:color="auto" w:fill="FFFFFF"/>
            <w:tcMar>
              <w:left w:w="108" w:type="dxa"/>
              <w:right w:w="108" w:type="dxa"/>
            </w:tcMar>
            <w:vAlign w:val="center"/>
          </w:tcPr>
          <w:p>
            <w:pPr>
              <w:widowControl/>
              <w:jc w:val="center"/>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4</w:t>
            </w:r>
          </w:p>
        </w:tc>
        <w:tc>
          <w:tcPr>
            <w:tcW w:w="2835" w:type="dxa"/>
            <w:shd w:val="clear" w:color="auto" w:fill="FFFFFF"/>
            <w:vAlign w:val="center"/>
          </w:tcPr>
          <w:p>
            <w:pPr>
              <w:widowControl/>
              <w:jc w:val="center"/>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资本性支出</w:t>
            </w:r>
          </w:p>
        </w:tc>
        <w:tc>
          <w:tcPr>
            <w:tcW w:w="1984" w:type="dxa"/>
            <w:shd w:val="clear" w:color="auto" w:fill="FFFFFF"/>
            <w:tcMar>
              <w:left w:w="108" w:type="dxa"/>
              <w:right w:w="108" w:type="dxa"/>
            </w:tcMar>
            <w:vAlign w:val="center"/>
          </w:tcPr>
          <w:p>
            <w:pPr>
              <w:widowControl/>
              <w:tabs>
                <w:tab w:val="center" w:pos="944"/>
                <w:tab w:val="right" w:pos="1768"/>
              </w:tabs>
              <w:jc w:val="center"/>
              <w:rPr>
                <w:rFonts w:hint="default" w:asciiTheme="minorEastAsia" w:hAnsiTheme="minorEastAsia" w:eastAsiaTheme="minorEastAsia" w:cstheme="minorEastAsia"/>
                <w:b w:val="0"/>
                <w:bCs w:val="0"/>
                <w:color w:val="auto"/>
                <w:kern w:val="0"/>
                <w:sz w:val="21"/>
                <w:szCs w:val="21"/>
                <w:highlight w:val="none"/>
                <w:lang w:val="en-US" w:eastAsia="zh-CN"/>
              </w:rPr>
            </w:pPr>
            <w:r>
              <w:rPr>
                <w:rFonts w:hint="eastAsia" w:asciiTheme="minorEastAsia" w:hAnsiTheme="minorEastAsia" w:eastAsiaTheme="minorEastAsia" w:cstheme="minorEastAsia"/>
                <w:b w:val="0"/>
                <w:bCs w:val="0"/>
                <w:color w:val="auto"/>
                <w:kern w:val="0"/>
                <w:sz w:val="21"/>
                <w:szCs w:val="21"/>
                <w:highlight w:val="none"/>
                <w:lang w:val="en-US" w:eastAsia="zh-CN"/>
              </w:rPr>
              <w:t>1.08</w:t>
            </w:r>
          </w:p>
        </w:tc>
        <w:tc>
          <w:tcPr>
            <w:tcW w:w="1701" w:type="dxa"/>
            <w:shd w:val="clear" w:color="auto" w:fill="FFFFFF"/>
            <w:vAlign w:val="center"/>
          </w:tcPr>
          <w:p>
            <w:pPr>
              <w:widowControl/>
              <w:jc w:val="center"/>
              <w:rPr>
                <w:rFonts w:hint="default" w:asciiTheme="minorEastAsia" w:hAnsiTheme="minorEastAsia" w:eastAsiaTheme="minorEastAsia" w:cstheme="minorEastAsia"/>
                <w:b w:val="0"/>
                <w:bCs w:val="0"/>
                <w:color w:val="auto"/>
                <w:kern w:val="0"/>
                <w:sz w:val="21"/>
                <w:szCs w:val="21"/>
                <w:highlight w:val="none"/>
                <w:lang w:val="en-US" w:eastAsia="zh-CN"/>
              </w:rPr>
            </w:pPr>
            <w:r>
              <w:rPr>
                <w:rFonts w:hint="eastAsia" w:asciiTheme="minorEastAsia" w:hAnsiTheme="minorEastAsia" w:eastAsiaTheme="minorEastAsia" w:cstheme="minorEastAsia"/>
                <w:b w:val="0"/>
                <w:bCs w:val="0"/>
                <w:color w:val="auto"/>
                <w:kern w:val="0"/>
                <w:sz w:val="21"/>
                <w:szCs w:val="21"/>
                <w:highlight w:val="none"/>
                <w:lang w:val="en-US" w:eastAsia="zh-CN" w:bidi="ar"/>
              </w:rPr>
              <w:t>0.28</w:t>
            </w:r>
          </w:p>
        </w:tc>
        <w:tc>
          <w:tcPr>
            <w:tcW w:w="1560" w:type="dxa"/>
            <w:shd w:val="clear" w:color="auto" w:fill="FFFFFF"/>
            <w:vAlign w:val="center"/>
          </w:tcPr>
          <w:p>
            <w:pPr>
              <w:widowControl/>
              <w:jc w:val="center"/>
              <w:rPr>
                <w:rFonts w:hint="default" w:asciiTheme="minorEastAsia" w:hAnsiTheme="minorEastAsia" w:eastAsiaTheme="minorEastAsia" w:cstheme="minorEastAsia"/>
                <w:b w:val="0"/>
                <w:bCs w:val="0"/>
                <w:color w:val="auto"/>
                <w:kern w:val="0"/>
                <w:sz w:val="21"/>
                <w:szCs w:val="21"/>
                <w:highlight w:val="none"/>
                <w:lang w:val="en-US" w:eastAsia="zh-CN"/>
              </w:rPr>
            </w:pPr>
            <w:r>
              <w:rPr>
                <w:rFonts w:hint="eastAsia" w:asciiTheme="minorEastAsia" w:hAnsiTheme="minorEastAsia" w:eastAsiaTheme="minorEastAsia" w:cstheme="minorEastAsia"/>
                <w:b w:val="0"/>
                <w:bCs w:val="0"/>
                <w:color w:val="auto"/>
                <w:kern w:val="0"/>
                <w:sz w:val="21"/>
                <w:szCs w:val="21"/>
                <w:highlight w:val="none"/>
                <w:lang w:val="en-US" w:eastAsia="zh-CN"/>
              </w:rPr>
              <w: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3" w:hRule="atLeast"/>
        </w:trPr>
        <w:tc>
          <w:tcPr>
            <w:tcW w:w="851" w:type="dxa"/>
            <w:shd w:val="clear" w:color="auto" w:fill="FFFFFF"/>
            <w:tcMar>
              <w:left w:w="108" w:type="dxa"/>
              <w:right w:w="108" w:type="dxa"/>
            </w:tcMar>
            <w:vAlign w:val="center"/>
          </w:tcPr>
          <w:p>
            <w:pPr>
              <w:widowControl/>
              <w:jc w:val="center"/>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5</w:t>
            </w:r>
          </w:p>
        </w:tc>
        <w:tc>
          <w:tcPr>
            <w:tcW w:w="2835" w:type="dxa"/>
            <w:shd w:val="clear" w:color="auto" w:fill="FFFFFF"/>
            <w:vAlign w:val="center"/>
          </w:tcPr>
          <w:p>
            <w:pPr>
              <w:widowControl/>
              <w:jc w:val="center"/>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合    计</w:t>
            </w:r>
          </w:p>
        </w:tc>
        <w:tc>
          <w:tcPr>
            <w:tcW w:w="1984" w:type="dxa"/>
            <w:shd w:val="clear" w:color="auto" w:fill="FFFFFF"/>
            <w:tcMar>
              <w:left w:w="108" w:type="dxa"/>
              <w:right w:w="108" w:type="dxa"/>
            </w:tcMar>
            <w:vAlign w:val="center"/>
          </w:tcPr>
          <w:p>
            <w:pPr>
              <w:widowControl/>
              <w:jc w:val="center"/>
              <w:rPr>
                <w:rFonts w:hint="default" w:asciiTheme="minorEastAsia" w:hAnsiTheme="minorEastAsia" w:eastAsiaTheme="minorEastAsia" w:cstheme="minorEastAsia"/>
                <w:b w:val="0"/>
                <w:bCs w:val="0"/>
                <w:color w:val="auto"/>
                <w:kern w:val="0"/>
                <w:sz w:val="21"/>
                <w:szCs w:val="21"/>
                <w:highlight w:val="none"/>
                <w:lang w:val="en-US" w:eastAsia="zh-CN"/>
              </w:rPr>
            </w:pPr>
            <w:r>
              <w:rPr>
                <w:rFonts w:hint="eastAsia" w:asciiTheme="minorEastAsia" w:hAnsiTheme="minorEastAsia" w:eastAsiaTheme="minorEastAsia" w:cstheme="minorEastAsia"/>
                <w:b w:val="0"/>
                <w:bCs w:val="0"/>
                <w:color w:val="auto"/>
                <w:kern w:val="0"/>
                <w:sz w:val="21"/>
                <w:szCs w:val="21"/>
                <w:highlight w:val="none"/>
                <w:lang w:val="en-US" w:eastAsia="zh-CN"/>
              </w:rPr>
              <w:t>2834.44</w:t>
            </w:r>
          </w:p>
        </w:tc>
        <w:tc>
          <w:tcPr>
            <w:tcW w:w="1701" w:type="dxa"/>
            <w:shd w:val="clear" w:color="auto" w:fill="FFFFFF"/>
            <w:vAlign w:val="center"/>
          </w:tcPr>
          <w:p>
            <w:pPr>
              <w:widowControl/>
              <w:jc w:val="center"/>
              <w:rPr>
                <w:rFonts w:hint="default" w:asciiTheme="minorEastAsia" w:hAnsiTheme="minorEastAsia" w:eastAsiaTheme="minorEastAsia" w:cstheme="minorEastAsia"/>
                <w:b w:val="0"/>
                <w:bCs w:val="0"/>
                <w:color w:val="auto"/>
                <w:kern w:val="0"/>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2490.10</w:t>
            </w:r>
          </w:p>
        </w:tc>
        <w:tc>
          <w:tcPr>
            <w:tcW w:w="1560" w:type="dxa"/>
            <w:shd w:val="clear" w:color="auto" w:fill="FFFFFF"/>
            <w:vAlign w:val="center"/>
          </w:tcPr>
          <w:p>
            <w:pPr>
              <w:widowControl/>
              <w:jc w:val="center"/>
              <w:rPr>
                <w:rFonts w:hint="default" w:asciiTheme="minorEastAsia" w:hAnsiTheme="minorEastAsia" w:eastAsiaTheme="minorEastAsia" w:cstheme="minorEastAsia"/>
                <w:b w:val="0"/>
                <w:bCs w:val="0"/>
                <w:color w:val="auto"/>
                <w:kern w:val="0"/>
                <w:sz w:val="21"/>
                <w:szCs w:val="21"/>
                <w:highlight w:val="none"/>
                <w:lang w:val="en-US" w:eastAsia="zh-CN"/>
              </w:rPr>
            </w:pPr>
            <w:r>
              <w:rPr>
                <w:rFonts w:hint="eastAsia" w:asciiTheme="minorEastAsia" w:hAnsiTheme="minorEastAsia" w:eastAsiaTheme="minorEastAsia" w:cstheme="minorEastAsia"/>
                <w:b w:val="0"/>
                <w:bCs w:val="0"/>
                <w:color w:val="auto"/>
                <w:kern w:val="0"/>
                <w:sz w:val="21"/>
                <w:szCs w:val="21"/>
                <w:highlight w:val="none"/>
                <w:lang w:val="en-US" w:eastAsia="zh-CN"/>
              </w:rPr>
              <w:t>344.34</w:t>
            </w:r>
          </w:p>
        </w:tc>
      </w:tr>
    </w:tbl>
    <w:p>
      <w:pPr>
        <w:spacing w:line="580" w:lineRule="exact"/>
        <w:ind w:firstLine="646"/>
        <w:jc w:val="center"/>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202</w:t>
      </w:r>
      <w:r>
        <w:rPr>
          <w:rFonts w:hint="eastAsia" w:asciiTheme="minorEastAsia" w:hAnsiTheme="minorEastAsia" w:eastAsiaTheme="minorEastAsia" w:cstheme="minorEastAsia"/>
          <w:b/>
          <w:bCs/>
          <w:color w:val="auto"/>
          <w:sz w:val="24"/>
          <w:szCs w:val="24"/>
          <w:highlight w:val="none"/>
          <w:lang w:val="en-US" w:eastAsia="zh-CN"/>
        </w:rPr>
        <w:t>2</w:t>
      </w:r>
      <w:r>
        <w:rPr>
          <w:rFonts w:hint="eastAsia" w:asciiTheme="minorEastAsia" w:hAnsiTheme="minorEastAsia" w:eastAsiaTheme="minorEastAsia" w:cstheme="minorEastAsia"/>
          <w:b/>
          <w:bCs/>
          <w:color w:val="auto"/>
          <w:sz w:val="24"/>
          <w:szCs w:val="24"/>
          <w:highlight w:val="none"/>
        </w:rPr>
        <w:t>年与2021年基本支出对比表</w:t>
      </w:r>
    </w:p>
    <w:p>
      <w:pPr>
        <w:keepNext w:val="0"/>
        <w:keepLines w:val="0"/>
        <w:pageBreakBefore w:val="0"/>
        <w:widowControl w:val="0"/>
        <w:kinsoku/>
        <w:wordWrap/>
        <w:overflowPunct/>
        <w:topLinePunct w:val="0"/>
        <w:autoSpaceDE/>
        <w:autoSpaceDN/>
        <w:bidi w:val="0"/>
        <w:adjustRightInd/>
        <w:snapToGrid/>
        <w:spacing w:before="183" w:beforeLines="50" w:line="240" w:lineRule="auto"/>
        <w:textAlignment w:val="auto"/>
        <w:rPr>
          <w:rFonts w:hint="eastAsia" w:asciiTheme="minorEastAsia" w:hAnsiTheme="minorEastAsia" w:eastAsiaTheme="minorEastAsia" w:cstheme="minorEastAsia"/>
          <w:b/>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before="183" w:beforeLines="50" w:line="240" w:lineRule="auto"/>
        <w:ind w:firstLine="482" w:firstLineChars="200"/>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w:t>
      </w:r>
      <w:r>
        <w:rPr>
          <w:rFonts w:hint="eastAsia" w:asciiTheme="minorEastAsia" w:hAnsiTheme="minorEastAsia" w:eastAsiaTheme="minorEastAsia" w:cstheme="minorEastAsia"/>
          <w:b/>
          <w:bCs/>
          <w:color w:val="auto"/>
          <w:sz w:val="24"/>
          <w:szCs w:val="24"/>
          <w:highlight w:val="none"/>
          <w:lang w:val="en-US" w:eastAsia="zh-CN"/>
        </w:rPr>
        <w:t>二</w:t>
      </w:r>
      <w:r>
        <w:rPr>
          <w:rFonts w:hint="eastAsia" w:asciiTheme="minorEastAsia" w:hAnsiTheme="minorEastAsia" w:eastAsiaTheme="minorEastAsia" w:cstheme="minorEastAsia"/>
          <w:b/>
          <w:bCs/>
          <w:color w:val="auto"/>
          <w:sz w:val="24"/>
          <w:szCs w:val="24"/>
          <w:highlight w:val="none"/>
        </w:rPr>
        <w:t>）项目支出情况</w:t>
      </w:r>
    </w:p>
    <w:p>
      <w:pPr>
        <w:spacing w:line="580" w:lineRule="exact"/>
        <w:ind w:firstLine="646"/>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202</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年度本部门专项资金项目支出</w:t>
      </w:r>
      <w:r>
        <w:rPr>
          <w:rFonts w:hint="eastAsia" w:asciiTheme="minorEastAsia" w:hAnsiTheme="minorEastAsia" w:eastAsiaTheme="minorEastAsia" w:cstheme="minorEastAsia"/>
          <w:color w:val="auto"/>
          <w:sz w:val="24"/>
          <w:szCs w:val="24"/>
          <w:highlight w:val="none"/>
          <w:lang w:val="en-US" w:eastAsia="zh-CN"/>
        </w:rPr>
        <w:t>6148.40</w:t>
      </w:r>
      <w:r>
        <w:rPr>
          <w:rFonts w:hint="eastAsia" w:asciiTheme="minorEastAsia" w:hAnsiTheme="minorEastAsia" w:eastAsiaTheme="minorEastAsia" w:cstheme="minorEastAsia"/>
          <w:color w:val="auto"/>
          <w:sz w:val="24"/>
          <w:szCs w:val="24"/>
          <w:highlight w:val="none"/>
        </w:rPr>
        <w:t>万元，比20</w:t>
      </w:r>
      <w:r>
        <w:rPr>
          <w:rFonts w:hint="eastAsia" w:asciiTheme="minorEastAsia" w:hAnsiTheme="minorEastAsia" w:eastAsiaTheme="minorEastAsia" w:cstheme="minorEastAsia"/>
          <w:color w:val="auto"/>
          <w:sz w:val="24"/>
          <w:szCs w:val="24"/>
          <w:highlight w:val="none"/>
          <w:lang w:val="en-US" w:eastAsia="zh-CN"/>
        </w:rPr>
        <w:t>21</w:t>
      </w:r>
      <w:r>
        <w:rPr>
          <w:rFonts w:hint="eastAsia" w:asciiTheme="minorEastAsia" w:hAnsiTheme="minorEastAsia" w:eastAsiaTheme="minorEastAsia" w:cstheme="minorEastAsia"/>
          <w:color w:val="auto"/>
          <w:sz w:val="24"/>
          <w:szCs w:val="24"/>
          <w:highlight w:val="none"/>
        </w:rPr>
        <w:t>年项目支出4078.15万元</w:t>
      </w:r>
      <w:r>
        <w:rPr>
          <w:rFonts w:hint="eastAsia" w:asciiTheme="minorEastAsia" w:hAnsiTheme="minorEastAsia" w:eastAsiaTheme="minorEastAsia" w:cstheme="minorEastAsia"/>
          <w:color w:val="auto"/>
          <w:sz w:val="24"/>
          <w:szCs w:val="24"/>
          <w:highlight w:val="none"/>
          <w:lang w:val="en-US" w:eastAsia="zh-CN"/>
        </w:rPr>
        <w:t>增加2070.25</w:t>
      </w:r>
      <w:r>
        <w:rPr>
          <w:rFonts w:hint="eastAsia" w:asciiTheme="minorEastAsia" w:hAnsiTheme="minorEastAsia" w:eastAsiaTheme="minorEastAsia" w:cstheme="minorEastAsia"/>
          <w:color w:val="auto"/>
          <w:sz w:val="24"/>
          <w:szCs w:val="24"/>
          <w:highlight w:val="none"/>
        </w:rPr>
        <w:t>万元，</w:t>
      </w:r>
      <w:r>
        <w:rPr>
          <w:rFonts w:hint="eastAsia" w:asciiTheme="minorEastAsia" w:hAnsiTheme="minorEastAsia" w:eastAsiaTheme="minorEastAsia" w:cstheme="minorEastAsia"/>
          <w:color w:val="auto"/>
          <w:sz w:val="24"/>
          <w:szCs w:val="24"/>
          <w:highlight w:val="none"/>
          <w:lang w:val="en-US" w:eastAsia="zh-CN"/>
        </w:rPr>
        <w:t>降幅50.76</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w:t>
      </w:r>
    </w:p>
    <w:p>
      <w:pPr>
        <w:spacing w:line="580" w:lineRule="exact"/>
        <w:jc w:val="both"/>
        <w:rPr>
          <w:rFonts w:hint="eastAsia" w:asciiTheme="minorEastAsia" w:hAnsiTheme="minorEastAsia" w:eastAsiaTheme="minorEastAsia" w:cstheme="minorEastAsia"/>
          <w:b/>
          <w:bCs/>
          <w:color w:val="auto"/>
          <w:sz w:val="24"/>
          <w:szCs w:val="24"/>
          <w:highlight w:val="none"/>
        </w:rPr>
      </w:pPr>
    </w:p>
    <w:p>
      <w:pPr>
        <w:spacing w:line="580" w:lineRule="exact"/>
        <w:jc w:val="center"/>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202</w:t>
      </w:r>
      <w:r>
        <w:rPr>
          <w:rFonts w:hint="eastAsia" w:asciiTheme="minorEastAsia" w:hAnsiTheme="minorEastAsia" w:eastAsiaTheme="minorEastAsia" w:cstheme="minorEastAsia"/>
          <w:b/>
          <w:bCs/>
          <w:color w:val="auto"/>
          <w:sz w:val="24"/>
          <w:szCs w:val="24"/>
          <w:highlight w:val="none"/>
          <w:lang w:val="en-US" w:eastAsia="zh-CN"/>
        </w:rPr>
        <w:t>2</w:t>
      </w:r>
      <w:r>
        <w:rPr>
          <w:rFonts w:hint="eastAsia" w:asciiTheme="minorEastAsia" w:hAnsiTheme="minorEastAsia" w:eastAsiaTheme="minorEastAsia" w:cstheme="minorEastAsia"/>
          <w:b/>
          <w:bCs/>
          <w:color w:val="auto"/>
          <w:sz w:val="24"/>
          <w:szCs w:val="24"/>
          <w:highlight w:val="none"/>
        </w:rPr>
        <w:t>年与2021年项目支出对比表</w:t>
      </w:r>
    </w:p>
    <w:tbl>
      <w:tblPr>
        <w:tblStyle w:val="9"/>
        <w:tblW w:w="87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704"/>
        <w:gridCol w:w="2556"/>
        <w:gridCol w:w="1870"/>
        <w:gridCol w:w="1816"/>
        <w:gridCol w:w="1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33" w:hRule="atLeast"/>
          <w:jc w:val="center"/>
        </w:trPr>
        <w:tc>
          <w:tcPr>
            <w:tcW w:w="704" w:type="dxa"/>
            <w:shd w:val="clear" w:color="auto" w:fill="FFFFFF"/>
            <w:tcMar>
              <w:left w:w="108" w:type="dxa"/>
              <w:right w:w="108" w:type="dxa"/>
            </w:tcMar>
          </w:tcPr>
          <w:p>
            <w:pPr>
              <w:spacing w:line="440" w:lineRule="atLeast"/>
              <w:jc w:val="both"/>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序号</w:t>
            </w:r>
          </w:p>
        </w:tc>
        <w:tc>
          <w:tcPr>
            <w:tcW w:w="2556" w:type="dxa"/>
            <w:shd w:val="clear" w:color="auto" w:fill="FFFFFF"/>
          </w:tcPr>
          <w:p>
            <w:pPr>
              <w:spacing w:line="440" w:lineRule="atLeast"/>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lang w:bidi="ar"/>
              </w:rPr>
              <w:t>支出项目</w:t>
            </w:r>
          </w:p>
        </w:tc>
        <w:tc>
          <w:tcPr>
            <w:tcW w:w="1870" w:type="dxa"/>
            <w:shd w:val="clear" w:color="auto" w:fill="FFFFFF"/>
            <w:tcMar>
              <w:left w:w="108" w:type="dxa"/>
              <w:right w:w="108" w:type="dxa"/>
            </w:tcMar>
          </w:tcPr>
          <w:p>
            <w:pPr>
              <w:spacing w:line="440" w:lineRule="atLeast"/>
              <w:jc w:val="center"/>
              <w:rPr>
                <w:rFonts w:hint="eastAsia" w:asciiTheme="minorEastAsia" w:hAnsiTheme="minorEastAsia" w:eastAsiaTheme="minorEastAsia" w:cstheme="minorEastAsia"/>
                <w:b/>
                <w:color w:val="auto"/>
                <w:sz w:val="21"/>
                <w:szCs w:val="21"/>
                <w:highlight w:val="none"/>
                <w:lang w:bidi="ar"/>
              </w:rPr>
            </w:pPr>
            <w:r>
              <w:rPr>
                <w:rFonts w:hint="eastAsia" w:asciiTheme="minorEastAsia" w:hAnsiTheme="minorEastAsia" w:eastAsiaTheme="minorEastAsia" w:cstheme="minorEastAsia"/>
                <w:b/>
                <w:color w:val="auto"/>
                <w:sz w:val="21"/>
                <w:szCs w:val="21"/>
                <w:highlight w:val="none"/>
                <w:lang w:bidi="ar"/>
              </w:rPr>
              <w:t>202</w:t>
            </w:r>
            <w:r>
              <w:rPr>
                <w:rFonts w:hint="eastAsia" w:asciiTheme="minorEastAsia" w:hAnsiTheme="minorEastAsia" w:eastAsiaTheme="minorEastAsia" w:cstheme="minorEastAsia"/>
                <w:b/>
                <w:color w:val="auto"/>
                <w:sz w:val="21"/>
                <w:szCs w:val="21"/>
                <w:highlight w:val="none"/>
                <w:lang w:val="en-US" w:eastAsia="zh-CN" w:bidi="ar"/>
              </w:rPr>
              <w:t>2</w:t>
            </w:r>
            <w:r>
              <w:rPr>
                <w:rFonts w:hint="eastAsia" w:asciiTheme="minorEastAsia" w:hAnsiTheme="minorEastAsia" w:eastAsiaTheme="minorEastAsia" w:cstheme="minorEastAsia"/>
                <w:b/>
                <w:color w:val="auto"/>
                <w:sz w:val="21"/>
                <w:szCs w:val="21"/>
                <w:highlight w:val="none"/>
                <w:lang w:bidi="ar"/>
              </w:rPr>
              <w:t>年项目支出（万元）</w:t>
            </w:r>
          </w:p>
        </w:tc>
        <w:tc>
          <w:tcPr>
            <w:tcW w:w="1816" w:type="dxa"/>
            <w:shd w:val="clear" w:color="auto" w:fill="FFFFFF"/>
          </w:tcPr>
          <w:p>
            <w:pPr>
              <w:spacing w:line="440" w:lineRule="atLeast"/>
              <w:jc w:val="center"/>
              <w:rPr>
                <w:rFonts w:hint="eastAsia" w:asciiTheme="minorEastAsia" w:hAnsiTheme="minorEastAsia" w:eastAsiaTheme="minorEastAsia" w:cstheme="minorEastAsia"/>
                <w:b/>
                <w:color w:val="auto"/>
                <w:sz w:val="21"/>
                <w:szCs w:val="21"/>
                <w:highlight w:val="none"/>
                <w:lang w:bidi="ar"/>
              </w:rPr>
            </w:pPr>
            <w:r>
              <w:rPr>
                <w:rFonts w:hint="eastAsia" w:asciiTheme="minorEastAsia" w:hAnsiTheme="minorEastAsia" w:eastAsiaTheme="minorEastAsia" w:cstheme="minorEastAsia"/>
                <w:b/>
                <w:color w:val="auto"/>
                <w:sz w:val="21"/>
                <w:szCs w:val="21"/>
                <w:highlight w:val="none"/>
                <w:lang w:bidi="ar"/>
              </w:rPr>
              <w:t>202</w:t>
            </w:r>
            <w:r>
              <w:rPr>
                <w:rFonts w:hint="eastAsia" w:asciiTheme="minorEastAsia" w:hAnsiTheme="minorEastAsia" w:eastAsiaTheme="minorEastAsia" w:cstheme="minorEastAsia"/>
                <w:b/>
                <w:color w:val="auto"/>
                <w:sz w:val="21"/>
                <w:szCs w:val="21"/>
                <w:highlight w:val="none"/>
                <w:lang w:val="en-US" w:eastAsia="zh-CN" w:bidi="ar"/>
              </w:rPr>
              <w:t>1</w:t>
            </w:r>
            <w:r>
              <w:rPr>
                <w:rFonts w:hint="eastAsia" w:asciiTheme="minorEastAsia" w:hAnsiTheme="minorEastAsia" w:eastAsiaTheme="minorEastAsia" w:cstheme="minorEastAsia"/>
                <w:b/>
                <w:color w:val="auto"/>
                <w:sz w:val="21"/>
                <w:szCs w:val="21"/>
                <w:highlight w:val="none"/>
                <w:lang w:bidi="ar"/>
              </w:rPr>
              <w:t>年项目支出</w:t>
            </w:r>
          </w:p>
          <w:p>
            <w:pPr>
              <w:spacing w:line="440" w:lineRule="atLeast"/>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lang w:bidi="ar"/>
              </w:rPr>
              <w:t>（万元）</w:t>
            </w:r>
          </w:p>
        </w:tc>
        <w:tc>
          <w:tcPr>
            <w:tcW w:w="1801" w:type="dxa"/>
            <w:shd w:val="clear" w:color="auto" w:fill="FFFFFF"/>
          </w:tcPr>
          <w:p>
            <w:pPr>
              <w:spacing w:line="440" w:lineRule="atLeast"/>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增减额</w:t>
            </w:r>
          </w:p>
          <w:p>
            <w:pPr>
              <w:spacing w:line="440" w:lineRule="atLeast"/>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lang w:bidi="ar"/>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33" w:hRule="atLeast"/>
          <w:jc w:val="center"/>
        </w:trPr>
        <w:tc>
          <w:tcPr>
            <w:tcW w:w="704" w:type="dxa"/>
            <w:shd w:val="clear" w:color="auto" w:fill="FFFFFF"/>
            <w:tcMar>
              <w:left w:w="108" w:type="dxa"/>
              <w:right w:w="108" w:type="dxa"/>
            </w:tcMar>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p>
        </w:tc>
        <w:tc>
          <w:tcPr>
            <w:tcW w:w="2556" w:type="dxa"/>
            <w:shd w:val="clear" w:color="auto" w:fill="FFFFFF"/>
          </w:tcPr>
          <w:p>
            <w:pPr>
              <w:spacing w:line="440" w:lineRule="atLeast"/>
              <w:jc w:val="center"/>
              <w:rPr>
                <w:rFonts w:hint="eastAsia" w:asciiTheme="minorEastAsia" w:hAnsiTheme="minorEastAsia" w:eastAsiaTheme="minorEastAsia" w:cstheme="minorEastAsia"/>
                <w:color w:val="auto"/>
                <w:sz w:val="21"/>
                <w:szCs w:val="21"/>
                <w:highlight w:val="none"/>
                <w:lang w:bidi="ar"/>
              </w:rPr>
            </w:pPr>
            <w:r>
              <w:rPr>
                <w:rFonts w:hint="eastAsia" w:asciiTheme="minorEastAsia" w:hAnsiTheme="minorEastAsia" w:eastAsiaTheme="minorEastAsia" w:cstheme="minorEastAsia"/>
                <w:color w:val="auto"/>
                <w:sz w:val="21"/>
                <w:szCs w:val="21"/>
                <w:highlight w:val="none"/>
                <w:lang w:bidi="ar"/>
              </w:rPr>
              <w:t>工资福利支出</w:t>
            </w:r>
          </w:p>
        </w:tc>
        <w:tc>
          <w:tcPr>
            <w:tcW w:w="1870" w:type="dxa"/>
            <w:shd w:val="clear" w:color="auto" w:fill="FFFFFF"/>
            <w:tcMar>
              <w:left w:w="108" w:type="dxa"/>
              <w:right w:w="108" w:type="dxa"/>
            </w:tcMar>
            <w:vAlign w:val="top"/>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bidi="ar"/>
              </w:rPr>
            </w:pPr>
            <w:r>
              <w:rPr>
                <w:rFonts w:hint="eastAsia" w:asciiTheme="minorEastAsia" w:hAnsiTheme="minorEastAsia" w:eastAsiaTheme="minorEastAsia" w:cstheme="minorEastAsia"/>
                <w:color w:val="auto"/>
                <w:sz w:val="21"/>
                <w:szCs w:val="21"/>
                <w:highlight w:val="none"/>
                <w:lang w:val="en-US" w:eastAsia="zh-CN" w:bidi="ar"/>
              </w:rPr>
              <w:t>67.32</w:t>
            </w:r>
          </w:p>
        </w:tc>
        <w:tc>
          <w:tcPr>
            <w:tcW w:w="1816" w:type="dxa"/>
            <w:shd w:val="clear" w:color="auto" w:fill="FFFFFF"/>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bidi="ar"/>
              </w:rPr>
            </w:pPr>
            <w:r>
              <w:rPr>
                <w:rFonts w:hint="eastAsia" w:asciiTheme="minorEastAsia" w:hAnsiTheme="minorEastAsia" w:eastAsiaTheme="minorEastAsia" w:cstheme="minorEastAsia"/>
                <w:color w:val="auto"/>
                <w:sz w:val="21"/>
                <w:szCs w:val="21"/>
                <w:highlight w:val="none"/>
                <w:lang w:val="en-US" w:eastAsia="zh-CN"/>
              </w:rPr>
              <w:t>45.99</w:t>
            </w:r>
          </w:p>
        </w:tc>
        <w:tc>
          <w:tcPr>
            <w:tcW w:w="1801" w:type="dxa"/>
            <w:shd w:val="clear" w:color="auto" w:fill="FFFFFF"/>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33" w:hRule="atLeast"/>
          <w:jc w:val="center"/>
        </w:trPr>
        <w:tc>
          <w:tcPr>
            <w:tcW w:w="704" w:type="dxa"/>
            <w:shd w:val="clear" w:color="auto" w:fill="FFFFFF"/>
            <w:tcMar>
              <w:left w:w="108" w:type="dxa"/>
              <w:right w:w="108" w:type="dxa"/>
            </w:tcMar>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p>
        </w:tc>
        <w:tc>
          <w:tcPr>
            <w:tcW w:w="2556" w:type="dxa"/>
            <w:shd w:val="clear" w:color="auto" w:fill="FFFFFF"/>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商品服务支出</w:t>
            </w:r>
          </w:p>
        </w:tc>
        <w:tc>
          <w:tcPr>
            <w:tcW w:w="1870" w:type="dxa"/>
            <w:shd w:val="clear" w:color="auto" w:fill="FFFFFF"/>
            <w:tcMar>
              <w:left w:w="108" w:type="dxa"/>
              <w:right w:w="108" w:type="dxa"/>
            </w:tcMar>
            <w:vAlign w:val="top"/>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bidi="ar"/>
              </w:rPr>
            </w:pPr>
            <w:r>
              <w:rPr>
                <w:rFonts w:hint="eastAsia" w:asciiTheme="minorEastAsia" w:hAnsiTheme="minorEastAsia" w:eastAsiaTheme="minorEastAsia" w:cstheme="minorEastAsia"/>
                <w:color w:val="auto"/>
                <w:sz w:val="21"/>
                <w:szCs w:val="21"/>
                <w:highlight w:val="none"/>
                <w:lang w:val="en-US" w:eastAsia="zh-CN" w:bidi="ar"/>
              </w:rPr>
              <w:t>3658.21</w:t>
            </w:r>
          </w:p>
        </w:tc>
        <w:tc>
          <w:tcPr>
            <w:tcW w:w="1816" w:type="dxa"/>
            <w:shd w:val="clear" w:color="auto" w:fill="FFFFFF"/>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1651.88</w:t>
            </w:r>
          </w:p>
        </w:tc>
        <w:tc>
          <w:tcPr>
            <w:tcW w:w="1801" w:type="dxa"/>
            <w:shd w:val="clear" w:color="auto" w:fill="FFFFFF"/>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2006.33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33" w:hRule="atLeast"/>
          <w:jc w:val="center"/>
        </w:trPr>
        <w:tc>
          <w:tcPr>
            <w:tcW w:w="704" w:type="dxa"/>
            <w:shd w:val="clear" w:color="auto" w:fill="FFFFFF"/>
            <w:tcMar>
              <w:left w:w="108" w:type="dxa"/>
              <w:right w:w="108" w:type="dxa"/>
            </w:tcMar>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c>
          <w:tcPr>
            <w:tcW w:w="2556" w:type="dxa"/>
            <w:shd w:val="clear" w:color="auto" w:fill="FFFFFF"/>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对个人和家庭的补助</w:t>
            </w:r>
          </w:p>
        </w:tc>
        <w:tc>
          <w:tcPr>
            <w:tcW w:w="1870" w:type="dxa"/>
            <w:shd w:val="clear" w:color="auto" w:fill="FFFFFF"/>
            <w:tcMar>
              <w:left w:w="108" w:type="dxa"/>
              <w:right w:w="108" w:type="dxa"/>
            </w:tcMar>
            <w:vAlign w:val="top"/>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bidi="ar"/>
              </w:rPr>
            </w:pPr>
            <w:r>
              <w:rPr>
                <w:rFonts w:hint="eastAsia" w:asciiTheme="minorEastAsia" w:hAnsiTheme="minorEastAsia" w:eastAsiaTheme="minorEastAsia" w:cstheme="minorEastAsia"/>
                <w:color w:val="auto"/>
                <w:sz w:val="21"/>
                <w:szCs w:val="21"/>
                <w:highlight w:val="none"/>
                <w:lang w:val="en-US" w:eastAsia="zh-CN" w:bidi="ar"/>
              </w:rPr>
              <w:t>147.27</w:t>
            </w:r>
          </w:p>
        </w:tc>
        <w:tc>
          <w:tcPr>
            <w:tcW w:w="1816" w:type="dxa"/>
            <w:shd w:val="clear" w:color="auto" w:fill="FFFFFF"/>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394.60</w:t>
            </w:r>
          </w:p>
        </w:tc>
        <w:tc>
          <w:tcPr>
            <w:tcW w:w="1801" w:type="dxa"/>
            <w:shd w:val="clear" w:color="auto" w:fill="FFFFFF"/>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-247.33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33" w:hRule="atLeast"/>
          <w:jc w:val="center"/>
        </w:trPr>
        <w:tc>
          <w:tcPr>
            <w:tcW w:w="704" w:type="dxa"/>
            <w:shd w:val="clear" w:color="auto" w:fill="FFFFFF"/>
            <w:tcMar>
              <w:left w:w="108" w:type="dxa"/>
              <w:right w:w="108" w:type="dxa"/>
            </w:tcMar>
          </w:tcPr>
          <w:p>
            <w:pPr>
              <w:spacing w:line="440" w:lineRule="atLeast"/>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4</w:t>
            </w:r>
          </w:p>
        </w:tc>
        <w:tc>
          <w:tcPr>
            <w:tcW w:w="2556" w:type="dxa"/>
            <w:shd w:val="clear" w:color="auto" w:fill="FFFFFF"/>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资本性支出</w:t>
            </w:r>
          </w:p>
        </w:tc>
        <w:tc>
          <w:tcPr>
            <w:tcW w:w="1870" w:type="dxa"/>
            <w:shd w:val="clear" w:color="auto" w:fill="FFFFFF"/>
            <w:tcMar>
              <w:left w:w="108" w:type="dxa"/>
              <w:right w:w="108" w:type="dxa"/>
            </w:tcMar>
            <w:vAlign w:val="top"/>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bidi="ar"/>
              </w:rPr>
            </w:pPr>
            <w:r>
              <w:rPr>
                <w:rFonts w:hint="eastAsia" w:asciiTheme="minorEastAsia" w:hAnsiTheme="minorEastAsia" w:eastAsiaTheme="minorEastAsia" w:cstheme="minorEastAsia"/>
                <w:color w:val="auto"/>
                <w:sz w:val="21"/>
                <w:szCs w:val="21"/>
                <w:highlight w:val="none"/>
                <w:lang w:val="en-US" w:eastAsia="zh-CN" w:bidi="ar"/>
              </w:rPr>
              <w:t>36.44</w:t>
            </w:r>
          </w:p>
        </w:tc>
        <w:tc>
          <w:tcPr>
            <w:tcW w:w="1816" w:type="dxa"/>
            <w:shd w:val="clear" w:color="auto" w:fill="FFFFFF"/>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2.68</w:t>
            </w:r>
          </w:p>
        </w:tc>
        <w:tc>
          <w:tcPr>
            <w:tcW w:w="1801" w:type="dxa"/>
            <w:shd w:val="clear" w:color="auto" w:fill="FFFFFF"/>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33" w:hRule="atLeast"/>
          <w:jc w:val="center"/>
        </w:trPr>
        <w:tc>
          <w:tcPr>
            <w:tcW w:w="704" w:type="dxa"/>
            <w:shd w:val="clear" w:color="auto" w:fill="FFFFFF"/>
            <w:tcMar>
              <w:left w:w="108" w:type="dxa"/>
              <w:right w:w="108" w:type="dxa"/>
            </w:tcMar>
          </w:tcPr>
          <w:p>
            <w:pPr>
              <w:spacing w:line="440" w:lineRule="atLeast"/>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5</w:t>
            </w:r>
          </w:p>
        </w:tc>
        <w:tc>
          <w:tcPr>
            <w:tcW w:w="2556" w:type="dxa"/>
            <w:shd w:val="clear" w:color="auto" w:fill="FFFFFF"/>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对企业补助</w:t>
            </w:r>
          </w:p>
        </w:tc>
        <w:tc>
          <w:tcPr>
            <w:tcW w:w="1870" w:type="dxa"/>
            <w:shd w:val="clear" w:color="auto" w:fill="FFFFFF"/>
            <w:tcMar>
              <w:left w:w="108" w:type="dxa"/>
              <w:right w:w="108" w:type="dxa"/>
            </w:tcMar>
            <w:vAlign w:val="top"/>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bidi="ar"/>
              </w:rPr>
            </w:pPr>
            <w:r>
              <w:rPr>
                <w:rFonts w:hint="eastAsia" w:asciiTheme="minorEastAsia" w:hAnsiTheme="minorEastAsia" w:eastAsiaTheme="minorEastAsia" w:cstheme="minorEastAsia"/>
                <w:color w:val="auto"/>
                <w:sz w:val="21"/>
                <w:szCs w:val="21"/>
                <w:highlight w:val="none"/>
                <w:lang w:val="en-US" w:eastAsia="zh-CN" w:bidi="ar"/>
              </w:rPr>
              <w:t>2239.16</w:t>
            </w:r>
          </w:p>
        </w:tc>
        <w:tc>
          <w:tcPr>
            <w:tcW w:w="1816" w:type="dxa"/>
            <w:shd w:val="clear" w:color="auto" w:fill="FFFFFF"/>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1982.99</w:t>
            </w:r>
          </w:p>
        </w:tc>
        <w:tc>
          <w:tcPr>
            <w:tcW w:w="1801" w:type="dxa"/>
            <w:shd w:val="clear" w:color="auto" w:fill="FFFFFF"/>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256.17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45" w:hRule="atLeast"/>
          <w:jc w:val="center"/>
        </w:trPr>
        <w:tc>
          <w:tcPr>
            <w:tcW w:w="704" w:type="dxa"/>
            <w:shd w:val="clear" w:color="auto" w:fill="FFFFFF"/>
            <w:tcMar>
              <w:left w:w="108" w:type="dxa"/>
              <w:right w:w="108" w:type="dxa"/>
            </w:tcMar>
          </w:tcPr>
          <w:p>
            <w:pPr>
              <w:spacing w:line="440" w:lineRule="atLeast"/>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6</w:t>
            </w:r>
          </w:p>
        </w:tc>
        <w:tc>
          <w:tcPr>
            <w:tcW w:w="2556" w:type="dxa"/>
            <w:shd w:val="clear" w:color="auto" w:fill="FFFFFF"/>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bidi="ar"/>
              </w:rPr>
              <w:t>合</w:t>
            </w:r>
            <w:r>
              <w:rPr>
                <w:rFonts w:hint="eastAsia" w:asciiTheme="minorEastAsia" w:hAnsiTheme="minorEastAsia" w:eastAsiaTheme="minorEastAsia" w:cstheme="minorEastAsia"/>
                <w:color w:val="auto"/>
                <w:sz w:val="21"/>
                <w:szCs w:val="21"/>
                <w:highlight w:val="none"/>
                <w:lang w:val="en-US" w:eastAsia="zh-CN" w:bidi="ar"/>
              </w:rPr>
              <w:t xml:space="preserve">  </w:t>
            </w:r>
            <w:r>
              <w:rPr>
                <w:rFonts w:hint="eastAsia" w:asciiTheme="minorEastAsia" w:hAnsiTheme="minorEastAsia" w:eastAsiaTheme="minorEastAsia" w:cstheme="minorEastAsia"/>
                <w:color w:val="auto"/>
                <w:sz w:val="21"/>
                <w:szCs w:val="21"/>
                <w:highlight w:val="none"/>
                <w:lang w:bidi="ar"/>
              </w:rPr>
              <w:t>计</w:t>
            </w:r>
          </w:p>
        </w:tc>
        <w:tc>
          <w:tcPr>
            <w:tcW w:w="1870" w:type="dxa"/>
            <w:shd w:val="clear" w:color="auto" w:fill="FFFFFF"/>
            <w:tcMar>
              <w:left w:w="108" w:type="dxa"/>
              <w:right w:w="108" w:type="dxa"/>
            </w:tcMar>
            <w:vAlign w:val="top"/>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bidi="ar"/>
              </w:rPr>
            </w:pPr>
            <w:r>
              <w:rPr>
                <w:rFonts w:hint="eastAsia" w:asciiTheme="minorEastAsia" w:hAnsiTheme="minorEastAsia" w:eastAsiaTheme="minorEastAsia" w:cstheme="minorEastAsia"/>
                <w:color w:val="auto"/>
                <w:sz w:val="21"/>
                <w:szCs w:val="21"/>
                <w:highlight w:val="none"/>
                <w:lang w:val="en-US" w:eastAsia="zh-CN" w:bidi="ar"/>
              </w:rPr>
              <w:t>6148.40</w:t>
            </w:r>
          </w:p>
        </w:tc>
        <w:tc>
          <w:tcPr>
            <w:tcW w:w="1816" w:type="dxa"/>
            <w:shd w:val="clear" w:color="auto" w:fill="FFFFFF"/>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4078.15</w:t>
            </w:r>
          </w:p>
        </w:tc>
        <w:tc>
          <w:tcPr>
            <w:tcW w:w="1801" w:type="dxa"/>
            <w:shd w:val="clear" w:color="auto" w:fill="FFFFFF"/>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2070.25</w:t>
            </w:r>
          </w:p>
        </w:tc>
      </w:tr>
    </w:tbl>
    <w:p>
      <w:pPr>
        <w:spacing w:line="580" w:lineRule="exact"/>
        <w:jc w:val="both"/>
        <w:rPr>
          <w:rFonts w:hint="eastAsia" w:asciiTheme="minorEastAsia" w:hAnsiTheme="minorEastAsia" w:eastAsiaTheme="minorEastAsia" w:cstheme="minorEastAsia"/>
          <w:b/>
          <w:color w:val="auto"/>
          <w:sz w:val="24"/>
          <w:szCs w:val="24"/>
          <w:highlight w:val="none"/>
        </w:rPr>
      </w:pPr>
      <w:bookmarkStart w:id="7" w:name="_Hlk12731250"/>
    </w:p>
    <w:p>
      <w:pPr>
        <w:keepNext w:val="0"/>
        <w:keepLines w:val="0"/>
        <w:pageBreakBefore w:val="0"/>
        <w:widowControl w:val="0"/>
        <w:kinsoku/>
        <w:wordWrap/>
        <w:overflowPunct/>
        <w:topLinePunct w:val="0"/>
        <w:autoSpaceDE/>
        <w:autoSpaceDN/>
        <w:bidi w:val="0"/>
        <w:adjustRightInd/>
        <w:snapToGrid/>
        <w:spacing w:line="480" w:lineRule="exact"/>
        <w:ind w:firstLine="612"/>
        <w:jc w:val="center"/>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20</w:t>
      </w:r>
      <w:r>
        <w:rPr>
          <w:rFonts w:hint="eastAsia" w:asciiTheme="minorEastAsia" w:hAnsiTheme="minorEastAsia" w:eastAsiaTheme="minorEastAsia" w:cstheme="minorEastAsia"/>
          <w:b/>
          <w:color w:val="auto"/>
          <w:sz w:val="24"/>
          <w:szCs w:val="24"/>
          <w:highlight w:val="none"/>
          <w:lang w:val="en-US" w:eastAsia="zh-CN"/>
        </w:rPr>
        <w:t>22</w:t>
      </w:r>
      <w:r>
        <w:rPr>
          <w:rFonts w:hint="eastAsia" w:asciiTheme="minorEastAsia" w:hAnsiTheme="minorEastAsia" w:eastAsiaTheme="minorEastAsia" w:cstheme="minorEastAsia"/>
          <w:b/>
          <w:color w:val="auto"/>
          <w:sz w:val="24"/>
          <w:szCs w:val="24"/>
          <w:highlight w:val="none"/>
        </w:rPr>
        <w:t>年与202</w:t>
      </w:r>
      <w:r>
        <w:rPr>
          <w:rFonts w:hint="eastAsia" w:asciiTheme="minorEastAsia" w:hAnsiTheme="minorEastAsia" w:eastAsiaTheme="minorEastAsia" w:cstheme="minorEastAsia"/>
          <w:b/>
          <w:color w:val="auto"/>
          <w:sz w:val="24"/>
          <w:szCs w:val="24"/>
          <w:highlight w:val="none"/>
          <w:lang w:val="en-US" w:eastAsia="zh-CN"/>
        </w:rPr>
        <w:t>1</w:t>
      </w:r>
      <w:r>
        <w:rPr>
          <w:rFonts w:hint="eastAsia" w:asciiTheme="minorEastAsia" w:hAnsiTheme="minorEastAsia" w:eastAsiaTheme="minorEastAsia" w:cstheme="minorEastAsia"/>
          <w:b/>
          <w:color w:val="auto"/>
          <w:sz w:val="24"/>
          <w:szCs w:val="24"/>
          <w:highlight w:val="none"/>
        </w:rPr>
        <w:t>年</w:t>
      </w:r>
      <w:r>
        <w:rPr>
          <w:rFonts w:hint="eastAsia" w:asciiTheme="minorEastAsia" w:hAnsiTheme="minorEastAsia" w:eastAsiaTheme="minorEastAsia" w:cstheme="minorEastAsia"/>
          <w:b/>
          <w:bCs/>
          <w:color w:val="auto"/>
          <w:sz w:val="24"/>
          <w:szCs w:val="24"/>
          <w:highlight w:val="none"/>
        </w:rPr>
        <w:t>项目支出明细</w:t>
      </w:r>
      <w:r>
        <w:rPr>
          <w:rFonts w:hint="eastAsia" w:asciiTheme="minorEastAsia" w:hAnsiTheme="minorEastAsia" w:eastAsiaTheme="minorEastAsia" w:cstheme="minorEastAsia"/>
          <w:b/>
          <w:color w:val="auto"/>
          <w:sz w:val="24"/>
          <w:szCs w:val="24"/>
          <w:highlight w:val="none"/>
        </w:rPr>
        <w:t>对比情况表</w:t>
      </w:r>
    </w:p>
    <w:p>
      <w:pPr>
        <w:spacing w:line="580" w:lineRule="exact"/>
        <w:ind w:right="480" w:firstLine="615"/>
        <w:jc w:val="right"/>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单位：万元</w:t>
      </w:r>
    </w:p>
    <w:tbl>
      <w:tblPr>
        <w:tblStyle w:val="10"/>
        <w:tblW w:w="8709" w:type="dxa"/>
        <w:tblInd w:w="40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01"/>
        <w:gridCol w:w="2883"/>
        <w:gridCol w:w="1815"/>
        <w:gridCol w:w="1447"/>
        <w:gridCol w:w="176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80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序号</w:t>
            </w:r>
          </w:p>
        </w:tc>
        <w:tc>
          <w:tcPr>
            <w:tcW w:w="28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项目</w:t>
            </w:r>
          </w:p>
        </w:tc>
        <w:tc>
          <w:tcPr>
            <w:tcW w:w="5025" w:type="dxa"/>
            <w:gridSpan w:val="3"/>
            <w:tcBorders>
              <w:top w:val="single" w:color="auto" w:sz="4" w:space="0"/>
              <w:left w:val="nil"/>
              <w:bottom w:val="single" w:color="auto" w:sz="4" w:space="0"/>
              <w:right w:val="single" w:color="auto" w:sz="4" w:space="0"/>
            </w:tcBorders>
            <w:shd w:val="clear" w:color="auto" w:fill="auto"/>
            <w:vAlign w:val="center"/>
          </w:tcPr>
          <w:p>
            <w:pPr>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决算支出金额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4" w:hRule="atLeast"/>
        </w:trPr>
        <w:tc>
          <w:tcPr>
            <w:tcW w:w="801" w:type="dxa"/>
            <w:vMerge w:val="continue"/>
          </w:tcPr>
          <w:p>
            <w:pPr>
              <w:spacing w:line="580" w:lineRule="exact"/>
              <w:rPr>
                <w:rFonts w:hint="eastAsia" w:asciiTheme="minorEastAsia" w:hAnsiTheme="minorEastAsia" w:eastAsiaTheme="minorEastAsia" w:cstheme="minorEastAsia"/>
                <w:b/>
                <w:bCs/>
                <w:color w:val="auto"/>
                <w:sz w:val="21"/>
                <w:szCs w:val="21"/>
                <w:highlight w:val="none"/>
              </w:rPr>
            </w:pPr>
          </w:p>
        </w:tc>
        <w:tc>
          <w:tcPr>
            <w:tcW w:w="2883" w:type="dxa"/>
            <w:vMerge w:val="continue"/>
          </w:tcPr>
          <w:p>
            <w:pPr>
              <w:spacing w:line="580" w:lineRule="exact"/>
              <w:rPr>
                <w:rFonts w:hint="eastAsia" w:asciiTheme="minorEastAsia" w:hAnsiTheme="minorEastAsia" w:eastAsiaTheme="minorEastAsia" w:cstheme="minorEastAsia"/>
                <w:b/>
                <w:bCs/>
                <w:color w:val="auto"/>
                <w:sz w:val="21"/>
                <w:szCs w:val="21"/>
                <w:highlight w:val="none"/>
              </w:rPr>
            </w:pPr>
          </w:p>
        </w:tc>
        <w:tc>
          <w:tcPr>
            <w:tcW w:w="1815" w:type="dxa"/>
            <w:vAlign w:val="top"/>
          </w:tcPr>
          <w:p>
            <w:pPr>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202</w:t>
            </w:r>
            <w:r>
              <w:rPr>
                <w:rFonts w:hint="eastAsia" w:asciiTheme="minorEastAsia" w:hAnsiTheme="minorEastAsia" w:eastAsiaTheme="minorEastAsia" w:cstheme="minorEastAsia"/>
                <w:b/>
                <w:bCs/>
                <w:color w:val="auto"/>
                <w:sz w:val="21"/>
                <w:szCs w:val="21"/>
                <w:highlight w:val="none"/>
                <w:lang w:val="en-US" w:eastAsia="zh-CN"/>
              </w:rPr>
              <w:t>2</w:t>
            </w:r>
            <w:r>
              <w:rPr>
                <w:rFonts w:hint="eastAsia" w:asciiTheme="minorEastAsia" w:hAnsiTheme="minorEastAsia" w:eastAsiaTheme="minorEastAsia" w:cstheme="minorEastAsia"/>
                <w:b/>
                <w:bCs/>
                <w:color w:val="auto"/>
                <w:sz w:val="21"/>
                <w:szCs w:val="21"/>
                <w:highlight w:val="none"/>
              </w:rPr>
              <w:t>年</w:t>
            </w:r>
          </w:p>
        </w:tc>
        <w:tc>
          <w:tcPr>
            <w:tcW w:w="1447" w:type="dxa"/>
          </w:tcPr>
          <w:p>
            <w:pPr>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202</w:t>
            </w:r>
            <w:r>
              <w:rPr>
                <w:rFonts w:hint="eastAsia" w:asciiTheme="minorEastAsia" w:hAnsiTheme="minorEastAsia" w:eastAsiaTheme="minorEastAsia" w:cstheme="minorEastAsia"/>
                <w:b/>
                <w:bCs/>
                <w:color w:val="auto"/>
                <w:sz w:val="21"/>
                <w:szCs w:val="21"/>
                <w:highlight w:val="none"/>
                <w:lang w:val="en-US" w:eastAsia="zh-CN"/>
              </w:rPr>
              <w:t>1</w:t>
            </w:r>
            <w:r>
              <w:rPr>
                <w:rFonts w:hint="eastAsia" w:asciiTheme="minorEastAsia" w:hAnsiTheme="minorEastAsia" w:eastAsiaTheme="minorEastAsia" w:cstheme="minorEastAsia"/>
                <w:b/>
                <w:bCs/>
                <w:color w:val="auto"/>
                <w:sz w:val="21"/>
                <w:szCs w:val="21"/>
                <w:highlight w:val="none"/>
              </w:rPr>
              <w:t>年</w:t>
            </w:r>
          </w:p>
        </w:tc>
        <w:tc>
          <w:tcPr>
            <w:tcW w:w="1763" w:type="dxa"/>
          </w:tcPr>
          <w:p>
            <w:pPr>
              <w:ind w:right="8" w:rightChars="4"/>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增减情况</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4" w:hRule="atLeast"/>
        </w:trPr>
        <w:tc>
          <w:tcPr>
            <w:tcW w:w="801" w:type="dxa"/>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p>
        </w:tc>
        <w:tc>
          <w:tcPr>
            <w:tcW w:w="2883" w:type="dxa"/>
          </w:tcPr>
          <w:p>
            <w:pPr>
              <w:spacing w:line="440" w:lineRule="atLeast"/>
              <w:jc w:val="left"/>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一般公共服务支出</w:t>
            </w:r>
          </w:p>
        </w:tc>
        <w:tc>
          <w:tcPr>
            <w:tcW w:w="1815" w:type="dxa"/>
            <w:vAlign w:val="top"/>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308.94</w:t>
            </w:r>
          </w:p>
        </w:tc>
        <w:tc>
          <w:tcPr>
            <w:tcW w:w="1447"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934.46</w:t>
            </w:r>
          </w:p>
        </w:tc>
        <w:tc>
          <w:tcPr>
            <w:tcW w:w="1763" w:type="dxa"/>
          </w:tcPr>
          <w:p>
            <w:pPr>
              <w:spacing w:line="440" w:lineRule="atLeast"/>
              <w:ind w:right="8" w:rightChars="4"/>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-625.52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4" w:hRule="atLeast"/>
        </w:trPr>
        <w:tc>
          <w:tcPr>
            <w:tcW w:w="801" w:type="dxa"/>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p>
        </w:tc>
        <w:tc>
          <w:tcPr>
            <w:tcW w:w="2883" w:type="dxa"/>
            <w:vAlign w:val="top"/>
          </w:tcPr>
          <w:p>
            <w:pPr>
              <w:spacing w:line="440" w:lineRule="atLeast"/>
              <w:jc w:val="left"/>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教育支出</w:t>
            </w:r>
          </w:p>
        </w:tc>
        <w:tc>
          <w:tcPr>
            <w:tcW w:w="1815" w:type="dxa"/>
            <w:vAlign w:val="top"/>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1000.00</w:t>
            </w:r>
          </w:p>
        </w:tc>
        <w:tc>
          <w:tcPr>
            <w:tcW w:w="1447" w:type="dxa"/>
            <w:vAlign w:val="top"/>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763" w:type="dxa"/>
          </w:tcPr>
          <w:p>
            <w:pPr>
              <w:spacing w:line="440" w:lineRule="atLeast"/>
              <w:ind w:right="8" w:rightChars="4"/>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1000.00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trPr>
        <w:tc>
          <w:tcPr>
            <w:tcW w:w="801" w:type="dxa"/>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c>
          <w:tcPr>
            <w:tcW w:w="2883" w:type="dxa"/>
            <w:vAlign w:val="top"/>
          </w:tcPr>
          <w:p>
            <w:pPr>
              <w:spacing w:line="440" w:lineRule="atLeast"/>
              <w:jc w:val="left"/>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科学技术支出</w:t>
            </w:r>
          </w:p>
        </w:tc>
        <w:tc>
          <w:tcPr>
            <w:tcW w:w="1815" w:type="dxa"/>
            <w:vAlign w:val="top"/>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30.00</w:t>
            </w:r>
          </w:p>
        </w:tc>
        <w:tc>
          <w:tcPr>
            <w:tcW w:w="1447" w:type="dxa"/>
            <w:vAlign w:val="top"/>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763"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30.00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trPr>
        <w:tc>
          <w:tcPr>
            <w:tcW w:w="801" w:type="dxa"/>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w:t>
            </w:r>
          </w:p>
        </w:tc>
        <w:tc>
          <w:tcPr>
            <w:tcW w:w="2883" w:type="dxa"/>
            <w:vAlign w:val="top"/>
          </w:tcPr>
          <w:p>
            <w:pPr>
              <w:spacing w:line="440" w:lineRule="atLeast"/>
              <w:jc w:val="left"/>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社会保障和就业支出</w:t>
            </w:r>
          </w:p>
        </w:tc>
        <w:tc>
          <w:tcPr>
            <w:tcW w:w="1815" w:type="dxa"/>
            <w:vAlign w:val="top"/>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105.27</w:t>
            </w:r>
          </w:p>
        </w:tc>
        <w:tc>
          <w:tcPr>
            <w:tcW w:w="1447" w:type="dxa"/>
            <w:vAlign w:val="top"/>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143.87</w:t>
            </w:r>
          </w:p>
        </w:tc>
        <w:tc>
          <w:tcPr>
            <w:tcW w:w="1763"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-38.60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801" w:type="dxa"/>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w:t>
            </w:r>
          </w:p>
        </w:tc>
        <w:tc>
          <w:tcPr>
            <w:tcW w:w="2883" w:type="dxa"/>
            <w:vAlign w:val="top"/>
          </w:tcPr>
          <w:p>
            <w:pPr>
              <w:spacing w:line="440" w:lineRule="atLeast"/>
              <w:jc w:val="left"/>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卫生健康支出</w:t>
            </w:r>
          </w:p>
        </w:tc>
        <w:tc>
          <w:tcPr>
            <w:tcW w:w="1815" w:type="dxa"/>
            <w:vAlign w:val="top"/>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622.09</w:t>
            </w:r>
          </w:p>
        </w:tc>
        <w:tc>
          <w:tcPr>
            <w:tcW w:w="1447" w:type="dxa"/>
            <w:vAlign w:val="top"/>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63.39</w:t>
            </w:r>
          </w:p>
        </w:tc>
        <w:tc>
          <w:tcPr>
            <w:tcW w:w="1763"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558.70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801" w:type="dxa"/>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w:t>
            </w:r>
          </w:p>
        </w:tc>
        <w:tc>
          <w:tcPr>
            <w:tcW w:w="2883" w:type="dxa"/>
          </w:tcPr>
          <w:p>
            <w:pPr>
              <w:spacing w:line="440" w:lineRule="atLeast"/>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城乡社区支出</w:t>
            </w:r>
          </w:p>
        </w:tc>
        <w:tc>
          <w:tcPr>
            <w:tcW w:w="1815" w:type="dxa"/>
            <w:vAlign w:val="top"/>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112.80</w:t>
            </w:r>
          </w:p>
        </w:tc>
        <w:tc>
          <w:tcPr>
            <w:tcW w:w="1447"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763"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112.80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801" w:type="dxa"/>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w:t>
            </w:r>
          </w:p>
        </w:tc>
        <w:tc>
          <w:tcPr>
            <w:tcW w:w="2883" w:type="dxa"/>
          </w:tcPr>
          <w:p>
            <w:pPr>
              <w:spacing w:line="440" w:lineRule="atLeast"/>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资源勘探工业信息等支出</w:t>
            </w:r>
          </w:p>
        </w:tc>
        <w:tc>
          <w:tcPr>
            <w:tcW w:w="1815" w:type="dxa"/>
            <w:vAlign w:val="top"/>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3332.06</w:t>
            </w:r>
          </w:p>
        </w:tc>
        <w:tc>
          <w:tcPr>
            <w:tcW w:w="1447"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2228.25</w:t>
            </w:r>
          </w:p>
        </w:tc>
        <w:tc>
          <w:tcPr>
            <w:tcW w:w="1763"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1103.81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801" w:type="dxa"/>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w:t>
            </w:r>
          </w:p>
        </w:tc>
        <w:tc>
          <w:tcPr>
            <w:tcW w:w="2883" w:type="dxa"/>
          </w:tcPr>
          <w:p>
            <w:pPr>
              <w:spacing w:line="440" w:lineRule="atLeast"/>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国有资本经营预算支出</w:t>
            </w:r>
          </w:p>
        </w:tc>
        <w:tc>
          <w:tcPr>
            <w:tcW w:w="1815" w:type="dxa"/>
            <w:vAlign w:val="top"/>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8.54</w:t>
            </w:r>
          </w:p>
        </w:tc>
        <w:tc>
          <w:tcPr>
            <w:tcW w:w="1447"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763"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8.54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8" w:hRule="atLeast"/>
        </w:trPr>
        <w:tc>
          <w:tcPr>
            <w:tcW w:w="801" w:type="dxa"/>
          </w:tcPr>
          <w:p>
            <w:pPr>
              <w:spacing w:line="440" w:lineRule="atLeas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w:t>
            </w:r>
          </w:p>
        </w:tc>
        <w:tc>
          <w:tcPr>
            <w:tcW w:w="2883" w:type="dxa"/>
          </w:tcPr>
          <w:p>
            <w:pPr>
              <w:spacing w:line="440" w:lineRule="atLeast"/>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其他支出</w:t>
            </w:r>
          </w:p>
        </w:tc>
        <w:tc>
          <w:tcPr>
            <w:tcW w:w="1815" w:type="dxa"/>
            <w:vAlign w:val="top"/>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628.70</w:t>
            </w:r>
          </w:p>
        </w:tc>
        <w:tc>
          <w:tcPr>
            <w:tcW w:w="1447"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708.18</w:t>
            </w:r>
          </w:p>
        </w:tc>
        <w:tc>
          <w:tcPr>
            <w:tcW w:w="1763"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-79.48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trPr>
        <w:tc>
          <w:tcPr>
            <w:tcW w:w="801" w:type="dxa"/>
          </w:tcPr>
          <w:p>
            <w:pPr>
              <w:spacing w:line="440" w:lineRule="atLeas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10</w:t>
            </w:r>
          </w:p>
        </w:tc>
        <w:tc>
          <w:tcPr>
            <w:tcW w:w="2883" w:type="dxa"/>
          </w:tcPr>
          <w:p>
            <w:pPr>
              <w:spacing w:line="440" w:lineRule="atLeas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合 计</w:t>
            </w:r>
          </w:p>
        </w:tc>
        <w:tc>
          <w:tcPr>
            <w:tcW w:w="1815" w:type="dxa"/>
            <w:vAlign w:val="top"/>
          </w:tcPr>
          <w:p>
            <w:pPr>
              <w:spacing w:line="440" w:lineRule="atLeast"/>
              <w:jc w:val="center"/>
              <w:rPr>
                <w:rFonts w:hint="default"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6148.40</w:t>
            </w:r>
          </w:p>
        </w:tc>
        <w:tc>
          <w:tcPr>
            <w:tcW w:w="1447" w:type="dxa"/>
          </w:tcPr>
          <w:p>
            <w:pPr>
              <w:spacing w:line="440" w:lineRule="atLeast"/>
              <w:jc w:val="center"/>
              <w:rPr>
                <w:rFonts w:hint="default"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4078.15</w:t>
            </w:r>
          </w:p>
        </w:tc>
        <w:tc>
          <w:tcPr>
            <w:tcW w:w="1763" w:type="dxa"/>
          </w:tcPr>
          <w:p>
            <w:pPr>
              <w:spacing w:line="440" w:lineRule="atLeast"/>
              <w:jc w:val="center"/>
              <w:rPr>
                <w:rFonts w:hint="default"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2070.25</w:t>
            </w:r>
          </w:p>
        </w:tc>
      </w:tr>
      <w:bookmarkEnd w:id="7"/>
    </w:tbl>
    <w:p>
      <w:pPr>
        <w:spacing w:line="600" w:lineRule="exact"/>
        <w:ind w:firstLine="480" w:firstLineChars="200"/>
        <w:rPr>
          <w:rFonts w:hint="eastAsia" w:asciiTheme="minorEastAsia" w:hAnsiTheme="minorEastAsia" w:eastAsiaTheme="minorEastAsia" w:cstheme="minorEastAsia"/>
          <w:color w:val="auto"/>
          <w:sz w:val="24"/>
          <w:szCs w:val="24"/>
          <w:highlight w:val="none"/>
        </w:rPr>
      </w:pPr>
    </w:p>
    <w:p>
      <w:pPr>
        <w:spacing w:line="60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202</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年度本</w:t>
      </w:r>
      <w:r>
        <w:rPr>
          <w:rFonts w:hint="eastAsia" w:asciiTheme="minorEastAsia" w:hAnsiTheme="minorEastAsia" w:eastAsiaTheme="minorEastAsia" w:cstheme="minorEastAsia"/>
          <w:color w:val="auto"/>
          <w:sz w:val="24"/>
          <w:szCs w:val="24"/>
          <w:highlight w:val="none"/>
          <w:lang w:val="en-US" w:eastAsia="zh-CN"/>
        </w:rPr>
        <w:t>单位</w:t>
      </w:r>
      <w:r>
        <w:rPr>
          <w:rFonts w:hint="eastAsia" w:asciiTheme="minorEastAsia" w:hAnsiTheme="minorEastAsia" w:eastAsiaTheme="minorEastAsia" w:cstheme="minorEastAsia"/>
          <w:color w:val="auto"/>
          <w:sz w:val="24"/>
          <w:szCs w:val="24"/>
          <w:highlight w:val="none"/>
        </w:rPr>
        <w:t>项目支出</w:t>
      </w:r>
      <w:r>
        <w:rPr>
          <w:rFonts w:hint="eastAsia" w:asciiTheme="minorEastAsia" w:hAnsiTheme="minorEastAsia" w:eastAsiaTheme="minorEastAsia" w:cstheme="minorEastAsia"/>
          <w:color w:val="auto"/>
          <w:sz w:val="24"/>
          <w:szCs w:val="24"/>
          <w:highlight w:val="none"/>
          <w:lang w:val="en-US" w:eastAsia="zh-CN"/>
        </w:rPr>
        <w:t>6148.40</w:t>
      </w:r>
      <w:r>
        <w:rPr>
          <w:rFonts w:hint="eastAsia" w:asciiTheme="minorEastAsia" w:hAnsiTheme="minorEastAsia" w:eastAsiaTheme="minorEastAsia" w:cstheme="minorEastAsia"/>
          <w:color w:val="auto"/>
          <w:sz w:val="24"/>
          <w:szCs w:val="24"/>
          <w:highlight w:val="none"/>
        </w:rPr>
        <w:t>万元，均按财政部门要求进行使用和管理。</w:t>
      </w:r>
    </w:p>
    <w:p>
      <w:pPr>
        <w:pStyle w:val="15"/>
        <w:widowControl/>
        <w:spacing w:line="540" w:lineRule="exact"/>
        <w:ind w:left="0" w:leftChars="0" w:firstLine="422" w:firstLineChars="175"/>
        <w:rPr>
          <w:rFonts w:hint="eastAsia" w:asciiTheme="minorEastAsia" w:hAnsiTheme="minorEastAsia" w:eastAsiaTheme="minorEastAsia" w:cstheme="minorEastAsia"/>
          <w:b/>
          <w:bCs/>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三</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“三公经费”支出情况</w:t>
      </w:r>
    </w:p>
    <w:p>
      <w:pPr>
        <w:spacing w:line="600" w:lineRule="exact"/>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2022年三公经费预算73.30万元，同比</w:t>
      </w:r>
      <w:r>
        <w:rPr>
          <w:rFonts w:hint="default" w:asciiTheme="minorEastAsia" w:hAnsiTheme="minorEastAsia" w:eastAsiaTheme="minorEastAsia" w:cstheme="minorEastAsia"/>
          <w:color w:val="auto"/>
          <w:sz w:val="24"/>
          <w:szCs w:val="24"/>
          <w:highlight w:val="none"/>
          <w:lang w:val="en-US"/>
        </w:rPr>
        <w:t>2021</w:t>
      </w:r>
      <w:r>
        <w:rPr>
          <w:rFonts w:hint="eastAsia" w:asciiTheme="minorEastAsia" w:hAnsiTheme="minorEastAsia" w:eastAsiaTheme="minorEastAsia" w:cstheme="minorEastAsia"/>
          <w:color w:val="auto"/>
          <w:sz w:val="24"/>
          <w:szCs w:val="24"/>
          <w:highlight w:val="none"/>
        </w:rPr>
        <w:t>年预算</w:t>
      </w:r>
      <w:r>
        <w:rPr>
          <w:rFonts w:hint="default" w:asciiTheme="minorEastAsia" w:hAnsiTheme="minorEastAsia" w:eastAsiaTheme="minorEastAsia" w:cstheme="minorEastAsia"/>
          <w:color w:val="auto"/>
          <w:sz w:val="24"/>
          <w:szCs w:val="24"/>
          <w:highlight w:val="none"/>
          <w:lang w:val="en-US"/>
        </w:rPr>
        <w:t>70.60</w:t>
      </w:r>
      <w:r>
        <w:rPr>
          <w:rFonts w:hint="eastAsia" w:asciiTheme="minorEastAsia" w:hAnsiTheme="minorEastAsia" w:eastAsiaTheme="minorEastAsia" w:cstheme="minorEastAsia"/>
          <w:color w:val="auto"/>
          <w:sz w:val="24"/>
          <w:szCs w:val="24"/>
          <w:highlight w:val="none"/>
        </w:rPr>
        <w:t>万元</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增加2.7万元</w:t>
      </w:r>
      <w:r>
        <w:rPr>
          <w:rFonts w:hint="eastAsia" w:asciiTheme="minorEastAsia" w:hAnsiTheme="minorEastAsia" w:eastAsiaTheme="minorEastAsia" w:cstheme="minorEastAsia"/>
          <w:color w:val="auto"/>
          <w:sz w:val="24"/>
          <w:szCs w:val="24"/>
          <w:highlight w:val="none"/>
          <w:lang w:eastAsia="zh-CN"/>
        </w:rPr>
        <w:t>。</w:t>
      </w:r>
    </w:p>
    <w:p>
      <w:pPr>
        <w:spacing w:line="600" w:lineRule="exact"/>
        <w:ind w:firstLine="480" w:firstLineChars="200"/>
        <w:rPr>
          <w:rFonts w:hint="default"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eastAsia="zh-CN"/>
        </w:rPr>
        <w:t>2022年</w:t>
      </w:r>
      <w:r>
        <w:rPr>
          <w:rFonts w:hint="eastAsia" w:asciiTheme="minorEastAsia" w:hAnsiTheme="minorEastAsia" w:eastAsiaTheme="minorEastAsia" w:cstheme="minorEastAsia"/>
          <w:color w:val="auto"/>
          <w:sz w:val="24"/>
          <w:szCs w:val="24"/>
          <w:highlight w:val="none"/>
        </w:rPr>
        <w:t>实际执行</w:t>
      </w:r>
      <w:r>
        <w:rPr>
          <w:rFonts w:hint="eastAsia" w:asciiTheme="minorEastAsia" w:hAnsiTheme="minorEastAsia" w:eastAsiaTheme="minorEastAsia" w:cstheme="minorEastAsia"/>
          <w:color w:val="auto"/>
          <w:sz w:val="24"/>
          <w:szCs w:val="24"/>
          <w:highlight w:val="none"/>
          <w:lang w:val="en-US" w:eastAsia="zh-CN"/>
        </w:rPr>
        <w:t>27.74万元，同比2021年</w:t>
      </w:r>
      <w:r>
        <w:rPr>
          <w:rFonts w:hint="default" w:asciiTheme="minorEastAsia" w:hAnsiTheme="minorEastAsia" w:eastAsiaTheme="minorEastAsia" w:cstheme="minorEastAsia"/>
          <w:color w:val="auto"/>
          <w:sz w:val="24"/>
          <w:szCs w:val="24"/>
          <w:highlight w:val="none"/>
          <w:lang w:val="en-US"/>
        </w:rPr>
        <w:t>14.02</w:t>
      </w:r>
      <w:r>
        <w:rPr>
          <w:rFonts w:hint="eastAsia" w:asciiTheme="minorEastAsia" w:hAnsiTheme="minorEastAsia" w:eastAsiaTheme="minorEastAsia" w:cstheme="minorEastAsia"/>
          <w:color w:val="auto"/>
          <w:sz w:val="24"/>
          <w:szCs w:val="24"/>
          <w:highlight w:val="none"/>
        </w:rPr>
        <w:t>万元</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增加13.72万元，增幅97.86%。</w:t>
      </w:r>
    </w:p>
    <w:p>
      <w:pPr>
        <w:spacing w:line="600" w:lineRule="exact"/>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2022年</w:t>
      </w:r>
      <w:r>
        <w:rPr>
          <w:rFonts w:hint="eastAsia" w:asciiTheme="minorEastAsia" w:hAnsiTheme="minorEastAsia" w:eastAsiaTheme="minorEastAsia" w:cstheme="minorEastAsia"/>
          <w:color w:val="auto"/>
          <w:sz w:val="24"/>
          <w:szCs w:val="24"/>
          <w:highlight w:val="none"/>
        </w:rPr>
        <w:t>公务接待费支出</w:t>
      </w:r>
      <w:r>
        <w:rPr>
          <w:rFonts w:hint="eastAsia" w:asciiTheme="minorEastAsia" w:hAnsiTheme="minorEastAsia" w:eastAsiaTheme="minorEastAsia" w:cstheme="minorEastAsia"/>
          <w:color w:val="auto"/>
          <w:sz w:val="24"/>
          <w:szCs w:val="24"/>
          <w:highlight w:val="none"/>
          <w:lang w:val="en-US" w:eastAsia="zh-CN"/>
        </w:rPr>
        <w:t>2.91</w:t>
      </w:r>
      <w:r>
        <w:rPr>
          <w:rFonts w:hint="eastAsia" w:asciiTheme="minorEastAsia" w:hAnsiTheme="minorEastAsia" w:eastAsiaTheme="minorEastAsia" w:cstheme="minorEastAsia"/>
          <w:color w:val="auto"/>
          <w:sz w:val="24"/>
          <w:szCs w:val="24"/>
          <w:highlight w:val="none"/>
        </w:rPr>
        <w:t>万元，同比20</w:t>
      </w:r>
      <w:r>
        <w:rPr>
          <w:rFonts w:hint="default" w:asciiTheme="minorEastAsia" w:hAnsiTheme="minorEastAsia" w:eastAsiaTheme="minorEastAsia" w:cstheme="minorEastAsia"/>
          <w:color w:val="auto"/>
          <w:sz w:val="24"/>
          <w:szCs w:val="24"/>
          <w:highlight w:val="none"/>
          <w:lang w:val="en-US"/>
        </w:rPr>
        <w:t>2</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年2.52万元，</w:t>
      </w:r>
      <w:r>
        <w:rPr>
          <w:rFonts w:hint="eastAsia" w:asciiTheme="minorEastAsia" w:hAnsiTheme="minorEastAsia" w:eastAsiaTheme="minorEastAsia" w:cstheme="minorEastAsia"/>
          <w:color w:val="auto"/>
          <w:sz w:val="24"/>
          <w:szCs w:val="24"/>
          <w:highlight w:val="none"/>
          <w:lang w:val="en-US" w:eastAsia="zh-CN"/>
        </w:rPr>
        <w:t>增幅15.48</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w:t>
      </w:r>
    </w:p>
    <w:p>
      <w:pPr>
        <w:spacing w:line="60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2022年公务车辆维护费24.83万元，比2021年11.50万元，增幅116%</w:t>
      </w:r>
      <w:r>
        <w:rPr>
          <w:rFonts w:hint="eastAsia" w:asciiTheme="minorEastAsia" w:hAnsiTheme="minorEastAsia" w:eastAsiaTheme="minorEastAsia" w:cstheme="minorEastAsia"/>
          <w:color w:val="auto"/>
          <w:sz w:val="24"/>
          <w:szCs w:val="24"/>
          <w:highlight w:val="none"/>
        </w:rPr>
        <w:t xml:space="preserve">。 </w:t>
      </w:r>
    </w:p>
    <w:p>
      <w:pPr>
        <w:pStyle w:val="15"/>
        <w:widowControl/>
        <w:spacing w:line="540" w:lineRule="exact"/>
        <w:ind w:left="0" w:leftChars="0" w:firstLine="422" w:firstLineChars="175"/>
        <w:rPr>
          <w:rFonts w:hint="eastAsia" w:asciiTheme="minorEastAsia" w:hAnsiTheme="minorEastAsia" w:eastAsiaTheme="minorEastAsia" w:cstheme="minorEastAsia"/>
          <w:b/>
          <w:bCs/>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lang w:val="en-US" w:eastAsia="zh-CN"/>
        </w:rPr>
        <w:t>三、</w:t>
      </w:r>
      <w:r>
        <w:rPr>
          <w:rFonts w:hint="eastAsia" w:asciiTheme="minorEastAsia" w:hAnsiTheme="minorEastAsia" w:eastAsiaTheme="minorEastAsia" w:cstheme="minorEastAsia"/>
          <w:b/>
          <w:bCs/>
          <w:color w:val="auto"/>
          <w:sz w:val="24"/>
          <w:szCs w:val="24"/>
          <w:highlight w:val="none"/>
          <w:lang w:eastAsia="zh-CN"/>
        </w:rPr>
        <w:t>政府性基金预算支出情况</w:t>
      </w:r>
    </w:p>
    <w:p>
      <w:pPr>
        <w:spacing w:line="600" w:lineRule="exact"/>
        <w:ind w:firstLine="480" w:firstLineChars="20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本局无政府性基金预算支出。</w:t>
      </w:r>
    </w:p>
    <w:p>
      <w:pPr>
        <w:pStyle w:val="15"/>
        <w:widowControl/>
        <w:spacing w:line="540" w:lineRule="exact"/>
        <w:ind w:left="0" w:leftChars="0" w:firstLine="422" w:firstLineChars="175"/>
        <w:rPr>
          <w:rFonts w:hint="eastAsia" w:asciiTheme="minorEastAsia" w:hAnsiTheme="minorEastAsia" w:eastAsiaTheme="minorEastAsia" w:cstheme="minorEastAsia"/>
          <w:b/>
          <w:bCs/>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lang w:val="en-US" w:eastAsia="zh-CN"/>
        </w:rPr>
        <w:t>四、</w:t>
      </w:r>
      <w:r>
        <w:rPr>
          <w:rFonts w:hint="eastAsia" w:asciiTheme="minorEastAsia" w:hAnsiTheme="minorEastAsia" w:eastAsiaTheme="minorEastAsia" w:cstheme="minorEastAsia"/>
          <w:b/>
          <w:bCs/>
          <w:color w:val="auto"/>
          <w:sz w:val="24"/>
          <w:szCs w:val="24"/>
          <w:highlight w:val="none"/>
          <w:lang w:eastAsia="zh-CN"/>
        </w:rPr>
        <w:t>国有资本经营预算支出情况</w:t>
      </w:r>
    </w:p>
    <w:p>
      <w:pPr>
        <w:spacing w:line="600" w:lineRule="exact"/>
        <w:ind w:firstLine="480" w:firstLineChars="200"/>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lang w:val="en-US" w:eastAsia="zh-CN"/>
        </w:rPr>
        <w:t>2022年</w:t>
      </w:r>
      <w:r>
        <w:rPr>
          <w:rFonts w:hint="eastAsia" w:asciiTheme="minorEastAsia" w:hAnsiTheme="minorEastAsia" w:eastAsiaTheme="minorEastAsia" w:cstheme="minorEastAsia"/>
          <w:b w:val="0"/>
          <w:bCs w:val="0"/>
          <w:color w:val="auto"/>
          <w:sz w:val="24"/>
          <w:szCs w:val="24"/>
          <w:highlight w:val="none"/>
        </w:rPr>
        <w:t>国有资本经营预算支出</w:t>
      </w:r>
      <w:r>
        <w:rPr>
          <w:rFonts w:hint="eastAsia" w:asciiTheme="minorEastAsia" w:hAnsiTheme="minorEastAsia" w:eastAsiaTheme="minorEastAsia" w:cstheme="minorEastAsia"/>
          <w:b w:val="0"/>
          <w:bCs w:val="0"/>
          <w:color w:val="auto"/>
          <w:sz w:val="24"/>
          <w:szCs w:val="24"/>
          <w:highlight w:val="none"/>
          <w:lang w:val="en-US" w:eastAsia="zh-CN"/>
        </w:rPr>
        <w:t>8.54万元，主要用于商品和服务支出，其中办公费1.32万元、印刷费2.05万元、差旅费9.04万元、维护费0.09万元、培训费0.03万元、劳务费1.93万元、其他交通费0.26万元、其他商品和服务支出3.61万元</w:t>
      </w:r>
      <w:r>
        <w:rPr>
          <w:rFonts w:hint="eastAsia" w:asciiTheme="minorEastAsia" w:hAnsiTheme="minorEastAsia" w:eastAsiaTheme="minorEastAsia" w:cstheme="minorEastAsia"/>
          <w:b w:val="0"/>
          <w:bCs w:val="0"/>
          <w:color w:val="auto"/>
          <w:sz w:val="24"/>
          <w:szCs w:val="24"/>
          <w:highlight w:val="none"/>
        </w:rPr>
        <w:t>。</w:t>
      </w:r>
    </w:p>
    <w:p>
      <w:pPr>
        <w:pStyle w:val="15"/>
        <w:widowControl/>
        <w:spacing w:line="540" w:lineRule="exact"/>
        <w:ind w:left="0" w:leftChars="0" w:firstLine="422" w:firstLineChars="175"/>
        <w:rPr>
          <w:rFonts w:hint="eastAsia" w:asciiTheme="minorEastAsia" w:hAnsiTheme="minorEastAsia" w:eastAsiaTheme="minorEastAsia" w:cstheme="minorEastAsia"/>
          <w:b/>
          <w:bCs/>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lang w:val="en-US" w:eastAsia="zh-CN"/>
        </w:rPr>
        <w:t>五、</w:t>
      </w:r>
      <w:r>
        <w:rPr>
          <w:rFonts w:hint="eastAsia" w:asciiTheme="minorEastAsia" w:hAnsiTheme="minorEastAsia" w:eastAsiaTheme="minorEastAsia" w:cstheme="minorEastAsia"/>
          <w:b/>
          <w:bCs/>
          <w:color w:val="auto"/>
          <w:sz w:val="24"/>
          <w:szCs w:val="24"/>
          <w:highlight w:val="none"/>
          <w:lang w:eastAsia="zh-CN"/>
        </w:rPr>
        <w:t>社会保险基金预算支出情况</w:t>
      </w:r>
    </w:p>
    <w:p>
      <w:pPr>
        <w:spacing w:line="600" w:lineRule="exact"/>
        <w:ind w:firstLine="480" w:firstLineChars="200"/>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本局无社会保险基金预算支出。</w:t>
      </w:r>
    </w:p>
    <w:p>
      <w:pPr>
        <w:pStyle w:val="15"/>
        <w:keepNext w:val="0"/>
        <w:keepLines w:val="0"/>
        <w:pageBreakBefore w:val="0"/>
        <w:widowControl/>
        <w:kinsoku/>
        <w:wordWrap/>
        <w:overflowPunct/>
        <w:topLinePunct w:val="0"/>
        <w:autoSpaceDE/>
        <w:autoSpaceDN/>
        <w:bidi w:val="0"/>
        <w:adjustRightInd/>
        <w:snapToGrid/>
        <w:spacing w:before="185" w:beforeLines="50" w:line="540" w:lineRule="exact"/>
        <w:ind w:left="0" w:leftChars="0" w:firstLine="422" w:firstLineChars="175"/>
        <w:textAlignment w:val="auto"/>
        <w:rPr>
          <w:rFonts w:hint="eastAsia" w:asciiTheme="minorEastAsia" w:hAnsiTheme="minorEastAsia" w:eastAsiaTheme="minorEastAsia" w:cstheme="minorEastAsia"/>
          <w:b/>
          <w:bCs/>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lang w:val="en-US" w:eastAsia="zh-CN"/>
        </w:rPr>
        <w:t>六、</w:t>
      </w:r>
      <w:r>
        <w:rPr>
          <w:rFonts w:hint="eastAsia" w:asciiTheme="minorEastAsia" w:hAnsiTheme="minorEastAsia" w:eastAsiaTheme="minorEastAsia" w:cstheme="minorEastAsia"/>
          <w:b/>
          <w:bCs/>
          <w:color w:val="auto"/>
          <w:sz w:val="24"/>
          <w:szCs w:val="24"/>
          <w:highlight w:val="none"/>
          <w:lang w:eastAsia="zh-CN"/>
        </w:rPr>
        <w:t>部门整体支出绩效情况</w:t>
      </w:r>
    </w:p>
    <w:p>
      <w:pPr>
        <w:pStyle w:val="15"/>
        <w:keepNext w:val="0"/>
        <w:keepLines w:val="0"/>
        <w:pageBreakBefore w:val="0"/>
        <w:widowControl/>
        <w:kinsoku/>
        <w:wordWrap/>
        <w:overflowPunct/>
        <w:topLinePunct w:val="0"/>
        <w:autoSpaceDE/>
        <w:autoSpaceDN/>
        <w:bidi w:val="0"/>
        <w:adjustRightInd/>
        <w:snapToGrid/>
        <w:spacing w:before="185" w:beforeLines="50" w:line="360" w:lineRule="auto"/>
        <w:ind w:left="0" w:leftChars="0" w:firstLine="422" w:firstLineChars="175"/>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（一）绩效自评目的、对象和范围</w:t>
      </w:r>
    </w:p>
    <w:p>
      <w:pPr>
        <w:keepNext w:val="0"/>
        <w:keepLines w:val="0"/>
        <w:pageBreakBefore w:val="0"/>
        <w:widowControl w:val="0"/>
        <w:kinsoku/>
        <w:wordWrap/>
        <w:overflowPunct/>
        <w:topLinePunct w:val="0"/>
        <w:autoSpaceDE/>
        <w:autoSpaceDN/>
        <w:bidi w:val="0"/>
        <w:adjustRightInd/>
        <w:snapToGrid/>
        <w:spacing w:after="183" w:afterLines="50"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根据《湘西自治州财政局关于开展202</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年度州直预算部门（单位）整体支出绩效自评工作的通知》（州财绩〔202</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号）要求，就本局202</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年度预算编制、执行、资金管理使用效果、绩效自评等开展</w:t>
      </w:r>
      <w:r>
        <w:rPr>
          <w:rFonts w:hint="eastAsia" w:asciiTheme="minorEastAsia" w:hAnsiTheme="minorEastAsia" w:eastAsiaTheme="minorEastAsia" w:cstheme="minorEastAsia"/>
          <w:color w:val="auto"/>
          <w:sz w:val="24"/>
          <w:szCs w:val="24"/>
          <w:highlight w:val="none"/>
          <w:lang w:val="en-US" w:eastAsia="zh-CN"/>
        </w:rPr>
        <w:t>全面</w:t>
      </w:r>
      <w:r>
        <w:rPr>
          <w:rFonts w:hint="eastAsia" w:asciiTheme="minorEastAsia" w:hAnsiTheme="minorEastAsia" w:eastAsiaTheme="minorEastAsia" w:cstheme="minorEastAsia"/>
          <w:color w:val="auto"/>
          <w:sz w:val="24"/>
          <w:szCs w:val="24"/>
          <w:highlight w:val="none"/>
        </w:rPr>
        <w:t>绩效自评工作。对本年度资金使用情况、日常组织管理情况、绩效目标完成情况进行自我衡量，了解资金使用是否达到预期目标</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资金管理是否规范</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资金使用是否有效，检验资金支出效率和效果，分析存在问题</w:t>
      </w:r>
      <w:r>
        <w:rPr>
          <w:rFonts w:hint="eastAsia" w:asciiTheme="minorEastAsia" w:hAnsiTheme="minorEastAsia" w:eastAsiaTheme="minorEastAsia" w:cstheme="minorEastAsia"/>
          <w:color w:val="auto"/>
          <w:sz w:val="24"/>
          <w:szCs w:val="24"/>
          <w:highlight w:val="none"/>
          <w:lang w:val="en-US" w:eastAsia="zh-CN"/>
        </w:rPr>
        <w:t>及</w:t>
      </w:r>
      <w:r>
        <w:rPr>
          <w:rFonts w:hint="eastAsia" w:asciiTheme="minorEastAsia" w:hAnsiTheme="minorEastAsia" w:eastAsiaTheme="minorEastAsia" w:cstheme="minorEastAsia"/>
          <w:color w:val="auto"/>
          <w:sz w:val="24"/>
          <w:szCs w:val="24"/>
          <w:highlight w:val="none"/>
        </w:rPr>
        <w:t>原因，及时总结经验，完善管理</w:t>
      </w:r>
      <w:r>
        <w:rPr>
          <w:rFonts w:hint="eastAsia" w:asciiTheme="minorEastAsia" w:hAnsiTheme="minorEastAsia" w:eastAsiaTheme="minorEastAsia" w:cstheme="minorEastAsia"/>
          <w:color w:val="auto"/>
          <w:sz w:val="24"/>
          <w:szCs w:val="24"/>
          <w:highlight w:val="none"/>
          <w:lang w:val="en-US" w:eastAsia="zh-CN"/>
        </w:rPr>
        <w:t>制度</w:t>
      </w:r>
      <w:r>
        <w:rPr>
          <w:rFonts w:hint="eastAsia" w:asciiTheme="minorEastAsia" w:hAnsiTheme="minorEastAsia" w:eastAsiaTheme="minorEastAsia" w:cstheme="minorEastAsia"/>
          <w:color w:val="auto"/>
          <w:sz w:val="24"/>
          <w:szCs w:val="24"/>
          <w:highlight w:val="none"/>
        </w:rPr>
        <w:t>，有效提高资金管理水平和使用效益。</w:t>
      </w:r>
    </w:p>
    <w:p>
      <w:pPr>
        <w:pStyle w:val="15"/>
        <w:keepNext w:val="0"/>
        <w:keepLines w:val="0"/>
        <w:pageBreakBefore w:val="0"/>
        <w:widowControl/>
        <w:kinsoku/>
        <w:wordWrap/>
        <w:overflowPunct/>
        <w:topLinePunct w:val="0"/>
        <w:autoSpaceDE/>
        <w:autoSpaceDN/>
        <w:bidi w:val="0"/>
        <w:adjustRightInd/>
        <w:snapToGrid/>
        <w:spacing w:before="185" w:beforeLines="50" w:line="360" w:lineRule="auto"/>
        <w:ind w:left="0" w:leftChars="0" w:firstLine="422" w:firstLineChars="175"/>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（二）绩效自评原则、依据、评价方法</w:t>
      </w:r>
    </w:p>
    <w:p>
      <w:pPr>
        <w:spacing w:line="60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遵循的原则：</w:t>
      </w:r>
      <w:r>
        <w:rPr>
          <w:rFonts w:hint="eastAsia" w:asciiTheme="minorEastAsia" w:hAnsiTheme="minorEastAsia" w:eastAsiaTheme="minorEastAsia" w:cstheme="minorEastAsia"/>
          <w:color w:val="auto"/>
          <w:sz w:val="24"/>
          <w:szCs w:val="24"/>
          <w:highlight w:val="none"/>
        </w:rPr>
        <w:t>本次绩效自评遵循科学</w:t>
      </w:r>
      <w:r>
        <w:rPr>
          <w:rFonts w:hint="eastAsia" w:asciiTheme="minorEastAsia" w:hAnsiTheme="minorEastAsia" w:eastAsiaTheme="minorEastAsia" w:cstheme="minorEastAsia"/>
          <w:color w:val="auto"/>
          <w:sz w:val="24"/>
          <w:szCs w:val="24"/>
          <w:highlight w:val="none"/>
          <w:lang w:val="en-US" w:eastAsia="zh-CN"/>
        </w:rPr>
        <w:t>系统</w:t>
      </w:r>
      <w:r>
        <w:rPr>
          <w:rFonts w:hint="eastAsia" w:asciiTheme="minorEastAsia" w:hAnsiTheme="minorEastAsia" w:eastAsiaTheme="minorEastAsia" w:cstheme="minorEastAsia"/>
          <w:color w:val="auto"/>
          <w:sz w:val="24"/>
          <w:szCs w:val="24"/>
          <w:highlight w:val="none"/>
        </w:rPr>
        <w:t>、统筹兼顾、公开透明的基本原则。</w:t>
      </w:r>
    </w:p>
    <w:p>
      <w:pPr>
        <w:spacing w:line="600" w:lineRule="exact"/>
        <w:ind w:firstLine="480" w:firstLineChars="200"/>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自评</w:t>
      </w:r>
      <w:r>
        <w:rPr>
          <w:rFonts w:hint="eastAsia" w:asciiTheme="minorEastAsia" w:hAnsiTheme="minorEastAsia" w:eastAsiaTheme="minorEastAsia" w:cstheme="minorEastAsia"/>
          <w:color w:val="auto"/>
          <w:sz w:val="24"/>
          <w:szCs w:val="24"/>
          <w:highlight w:val="none"/>
        </w:rPr>
        <w:t>依据</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本次绩效评价的主要依据</w:t>
      </w:r>
      <w:r>
        <w:rPr>
          <w:rFonts w:hint="eastAsia" w:asciiTheme="minorEastAsia" w:hAnsiTheme="minorEastAsia" w:eastAsiaTheme="minorEastAsia" w:cstheme="minorEastAsia"/>
          <w:color w:val="auto"/>
          <w:sz w:val="24"/>
          <w:szCs w:val="24"/>
          <w:highlight w:val="none"/>
          <w:lang w:val="en-US" w:eastAsia="zh-CN"/>
        </w:rPr>
        <w:t>如下:</w:t>
      </w:r>
    </w:p>
    <w:p>
      <w:pPr>
        <w:spacing w:line="600" w:lineRule="exact"/>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（1）《中华人民共和国预算法》、国家其他相关法律、法规和规章制度</w:t>
      </w:r>
      <w:r>
        <w:rPr>
          <w:rFonts w:hint="eastAsia" w:asciiTheme="minorEastAsia" w:hAnsiTheme="minorEastAsia" w:eastAsiaTheme="minorEastAsia" w:cstheme="minorEastAsia"/>
          <w:color w:val="auto"/>
          <w:sz w:val="24"/>
          <w:szCs w:val="24"/>
          <w:highlight w:val="none"/>
          <w:lang w:eastAsia="zh-CN"/>
        </w:rPr>
        <w:t>；</w:t>
      </w:r>
    </w:p>
    <w:p>
      <w:pPr>
        <w:spacing w:line="60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lang w:eastAsia="zh-CN"/>
        </w:rPr>
        <w:t>）《湖南省财政厅关于印发&lt;湖南省预算 支出绩效评价管理办法&gt;的通知》(湘财绩〔2020〕7号)、《湘西自治州州级预算部门整体支出绩效自评操作规程》(州财绩〔2021〕6号)、</w:t>
      </w:r>
      <w:r>
        <w:rPr>
          <w:rFonts w:hint="eastAsia" w:asciiTheme="minorEastAsia" w:hAnsiTheme="minorEastAsia" w:eastAsiaTheme="minorEastAsia" w:cstheme="minorEastAsia"/>
          <w:color w:val="auto"/>
          <w:sz w:val="24"/>
          <w:szCs w:val="24"/>
          <w:highlight w:val="none"/>
        </w:rPr>
        <w:t>《湘西自治州财政局关于开展202</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年度州直预算部门（单位）整体支出绩效自评工作的通知》（州财绩〔202</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号）；</w:t>
      </w:r>
    </w:p>
    <w:p>
      <w:pPr>
        <w:spacing w:line="600" w:lineRule="exact"/>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）预算管理和绩效评价相关制度和文件</w:t>
      </w:r>
      <w:r>
        <w:rPr>
          <w:rFonts w:hint="eastAsia" w:asciiTheme="minorEastAsia" w:hAnsiTheme="minorEastAsia" w:eastAsiaTheme="minorEastAsia" w:cstheme="minorEastAsia"/>
          <w:color w:val="auto"/>
          <w:sz w:val="24"/>
          <w:szCs w:val="24"/>
          <w:highlight w:val="none"/>
          <w:lang w:eastAsia="zh-CN"/>
        </w:rPr>
        <w:t>；</w:t>
      </w:r>
    </w:p>
    <w:p>
      <w:pPr>
        <w:spacing w:line="60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湘西自治州工业和信息化局202</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年主要工作任务。</w:t>
      </w:r>
    </w:p>
    <w:p>
      <w:pPr>
        <w:spacing w:line="60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）湘西自治州工业和信息化局部门职责职能。</w:t>
      </w:r>
    </w:p>
    <w:p>
      <w:pPr>
        <w:spacing w:line="60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评价方法</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本次绩效评价</w:t>
      </w:r>
      <w:r>
        <w:rPr>
          <w:rFonts w:hint="eastAsia" w:asciiTheme="minorEastAsia" w:hAnsiTheme="minorEastAsia" w:eastAsiaTheme="minorEastAsia" w:cstheme="minorEastAsia"/>
          <w:color w:val="auto"/>
          <w:sz w:val="24"/>
          <w:szCs w:val="24"/>
          <w:highlight w:val="none"/>
          <w:lang w:val="en-US" w:eastAsia="zh-CN"/>
        </w:rPr>
        <w:t>方式</w:t>
      </w:r>
      <w:r>
        <w:rPr>
          <w:rFonts w:hint="eastAsia" w:asciiTheme="minorEastAsia" w:hAnsiTheme="minorEastAsia" w:eastAsiaTheme="minorEastAsia" w:cstheme="minorEastAsia"/>
          <w:color w:val="auto"/>
          <w:sz w:val="24"/>
          <w:szCs w:val="24"/>
          <w:highlight w:val="none"/>
        </w:rPr>
        <w:t>为本局自评。</w:t>
      </w:r>
    </w:p>
    <w:p>
      <w:pPr>
        <w:pStyle w:val="15"/>
        <w:keepNext w:val="0"/>
        <w:keepLines w:val="0"/>
        <w:pageBreakBefore w:val="0"/>
        <w:widowControl/>
        <w:kinsoku/>
        <w:wordWrap/>
        <w:overflowPunct/>
        <w:topLinePunct w:val="0"/>
        <w:autoSpaceDE/>
        <w:autoSpaceDN/>
        <w:bidi w:val="0"/>
        <w:adjustRightInd/>
        <w:snapToGrid/>
        <w:spacing w:before="185" w:beforeLines="50" w:line="360" w:lineRule="auto"/>
        <w:ind w:left="0" w:leftChars="0" w:firstLine="422" w:firstLineChars="175"/>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 xml:space="preserve">（三）部门整体支出绩效目标完成情况 </w:t>
      </w:r>
    </w:p>
    <w:p>
      <w:pPr>
        <w:spacing w:line="580" w:lineRule="exact"/>
        <w:ind w:firstLine="480"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color w:val="auto"/>
          <w:sz w:val="24"/>
          <w:szCs w:val="24"/>
          <w:highlight w:val="none"/>
        </w:rPr>
        <w:t>在州委、州政府的坚强领导下，全州工信系统扎实做好“六稳”、“六保”工作，全面提升服务制造业高质量发展的能力和水平</w:t>
      </w:r>
      <w:r>
        <w:rPr>
          <w:rFonts w:hint="eastAsia" w:asciiTheme="minorEastAsia" w:hAnsiTheme="minorEastAsia" w:eastAsiaTheme="minorEastAsia" w:cstheme="minorEastAsia"/>
          <w:color w:val="auto"/>
          <w:sz w:val="24"/>
          <w:szCs w:val="24"/>
          <w:highlight w:val="none"/>
          <w:lang w:eastAsia="zh-CN"/>
        </w:rPr>
        <w:t>，着力推动制造业高质量发展行稳致远；以机制体制改革创新为动力，推进现代园区体系建设；以优势产业链建设为引领，推进现代产业体系建设。</w:t>
      </w:r>
      <w:r>
        <w:rPr>
          <w:rFonts w:hint="eastAsia" w:asciiTheme="minorEastAsia" w:hAnsiTheme="minorEastAsia" w:eastAsiaTheme="minorEastAsia" w:cstheme="minorEastAsia"/>
          <w:color w:val="auto"/>
          <w:sz w:val="24"/>
          <w:szCs w:val="24"/>
          <w:highlight w:val="none"/>
        </w:rPr>
        <w:t>部门整体支出情况如下：</w:t>
      </w:r>
    </w:p>
    <w:p>
      <w:pPr>
        <w:spacing w:line="54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202</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年收入总额</w:t>
      </w:r>
      <w:r>
        <w:rPr>
          <w:rFonts w:hint="eastAsia" w:asciiTheme="minorEastAsia" w:hAnsiTheme="minorEastAsia" w:eastAsiaTheme="minorEastAsia" w:cstheme="minorEastAsia"/>
          <w:color w:val="auto"/>
          <w:sz w:val="24"/>
          <w:szCs w:val="24"/>
          <w:highlight w:val="none"/>
          <w:lang w:val="en-US" w:eastAsia="zh-CN"/>
        </w:rPr>
        <w:t>8982.84</w:t>
      </w:r>
      <w:r>
        <w:rPr>
          <w:rFonts w:hint="eastAsia" w:asciiTheme="minorEastAsia" w:hAnsiTheme="minorEastAsia" w:eastAsiaTheme="minorEastAsia" w:cstheme="minorEastAsia"/>
          <w:color w:val="auto"/>
          <w:sz w:val="24"/>
          <w:szCs w:val="24"/>
          <w:highlight w:val="none"/>
        </w:rPr>
        <w:t>万元</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较20</w:t>
      </w:r>
      <w:r>
        <w:rPr>
          <w:rFonts w:hint="eastAsia" w:asciiTheme="minorEastAsia" w:hAnsiTheme="minorEastAsia" w:eastAsiaTheme="minorEastAsia" w:cstheme="minorEastAsia"/>
          <w:color w:val="auto"/>
          <w:sz w:val="24"/>
          <w:szCs w:val="24"/>
          <w:highlight w:val="none"/>
          <w:lang w:val="en-US" w:eastAsia="zh-CN"/>
        </w:rPr>
        <w:t>21</w:t>
      </w:r>
      <w:r>
        <w:rPr>
          <w:rFonts w:hint="eastAsia" w:asciiTheme="minorEastAsia" w:hAnsiTheme="minorEastAsia" w:eastAsiaTheme="minorEastAsia" w:cstheme="minorEastAsia"/>
          <w:color w:val="auto"/>
          <w:sz w:val="24"/>
          <w:szCs w:val="24"/>
          <w:highlight w:val="none"/>
        </w:rPr>
        <w:t>年收入5205.51万元</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增加3777.33</w:t>
      </w:r>
      <w:r>
        <w:rPr>
          <w:rFonts w:hint="eastAsia" w:asciiTheme="minorEastAsia" w:hAnsiTheme="minorEastAsia" w:eastAsiaTheme="minorEastAsia" w:cstheme="minorEastAsia"/>
          <w:color w:val="auto"/>
          <w:sz w:val="24"/>
          <w:szCs w:val="24"/>
          <w:highlight w:val="none"/>
        </w:rPr>
        <w:t>万元，一般公共预算财政拨款</w:t>
      </w:r>
      <w:r>
        <w:rPr>
          <w:rFonts w:hint="eastAsia" w:asciiTheme="minorEastAsia" w:hAnsiTheme="minorEastAsia" w:eastAsiaTheme="minorEastAsia" w:cstheme="minorEastAsia"/>
          <w:color w:val="auto"/>
          <w:sz w:val="24"/>
          <w:szCs w:val="24"/>
          <w:highlight w:val="none"/>
          <w:lang w:val="en-US" w:eastAsia="zh-CN"/>
        </w:rPr>
        <w:t>7650.85</w:t>
      </w:r>
      <w:r>
        <w:rPr>
          <w:rFonts w:hint="eastAsia" w:asciiTheme="minorEastAsia" w:hAnsiTheme="minorEastAsia" w:eastAsiaTheme="minorEastAsia" w:cstheme="minorEastAsia"/>
          <w:color w:val="auto"/>
          <w:sz w:val="24"/>
          <w:szCs w:val="24"/>
          <w:highlight w:val="none"/>
        </w:rPr>
        <w:t>万元</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较20</w:t>
      </w:r>
      <w:r>
        <w:rPr>
          <w:rFonts w:hint="eastAsia" w:asciiTheme="minorEastAsia" w:hAnsiTheme="minorEastAsia" w:eastAsiaTheme="minorEastAsia" w:cstheme="minorEastAsia"/>
          <w:color w:val="auto"/>
          <w:sz w:val="24"/>
          <w:szCs w:val="24"/>
          <w:highlight w:val="none"/>
          <w:lang w:val="en-US" w:eastAsia="zh-CN"/>
        </w:rPr>
        <w:t>20</w:t>
      </w:r>
      <w:r>
        <w:rPr>
          <w:rFonts w:hint="eastAsia" w:asciiTheme="minorEastAsia" w:hAnsiTheme="minorEastAsia" w:eastAsiaTheme="minorEastAsia" w:cstheme="minorEastAsia"/>
          <w:color w:val="auto"/>
          <w:sz w:val="24"/>
          <w:szCs w:val="24"/>
          <w:highlight w:val="none"/>
        </w:rPr>
        <w:t>年拨款收入4679.80万元</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增加2971.05</w:t>
      </w:r>
      <w:r>
        <w:rPr>
          <w:rFonts w:hint="eastAsia" w:asciiTheme="minorEastAsia" w:hAnsiTheme="minorEastAsia" w:eastAsiaTheme="minorEastAsia" w:cstheme="minorEastAsia"/>
          <w:color w:val="auto"/>
          <w:sz w:val="24"/>
          <w:szCs w:val="24"/>
          <w:highlight w:val="none"/>
        </w:rPr>
        <w:t>万元，</w:t>
      </w:r>
      <w:r>
        <w:rPr>
          <w:rFonts w:hint="eastAsia" w:asciiTheme="minorEastAsia" w:hAnsiTheme="minorEastAsia" w:eastAsiaTheme="minorEastAsia" w:cstheme="minorEastAsia"/>
          <w:color w:val="auto"/>
          <w:sz w:val="24"/>
          <w:szCs w:val="24"/>
          <w:highlight w:val="none"/>
          <w:lang w:val="en-US" w:eastAsia="zh-CN"/>
        </w:rPr>
        <w:t>增幅63.49</w:t>
      </w:r>
      <w:r>
        <w:rPr>
          <w:rFonts w:hint="eastAsia" w:asciiTheme="minorEastAsia" w:hAnsiTheme="minorEastAsia" w:eastAsiaTheme="minorEastAsia" w:cstheme="minorEastAsia"/>
          <w:color w:val="auto"/>
          <w:sz w:val="24"/>
          <w:szCs w:val="24"/>
          <w:highlight w:val="none"/>
        </w:rPr>
        <w:t>%；本年支出总计</w:t>
      </w:r>
      <w:r>
        <w:rPr>
          <w:rFonts w:hint="eastAsia" w:asciiTheme="minorEastAsia" w:hAnsiTheme="minorEastAsia" w:eastAsiaTheme="minorEastAsia" w:cstheme="minorEastAsia"/>
          <w:color w:val="auto"/>
          <w:sz w:val="24"/>
          <w:szCs w:val="24"/>
          <w:highlight w:val="none"/>
          <w:lang w:val="en-US" w:eastAsia="zh-CN"/>
        </w:rPr>
        <w:t>8982.84</w:t>
      </w:r>
      <w:r>
        <w:rPr>
          <w:rFonts w:hint="eastAsia" w:asciiTheme="minorEastAsia" w:hAnsiTheme="minorEastAsia" w:eastAsiaTheme="minorEastAsia" w:cstheme="minorEastAsia"/>
          <w:color w:val="auto"/>
          <w:sz w:val="24"/>
          <w:szCs w:val="24"/>
          <w:highlight w:val="none"/>
        </w:rPr>
        <w:t>万元，较20</w:t>
      </w:r>
      <w:r>
        <w:rPr>
          <w:rFonts w:hint="eastAsia" w:asciiTheme="minorEastAsia" w:hAnsiTheme="minorEastAsia" w:eastAsiaTheme="minorEastAsia" w:cstheme="minorEastAsia"/>
          <w:color w:val="auto"/>
          <w:sz w:val="24"/>
          <w:szCs w:val="24"/>
          <w:highlight w:val="none"/>
          <w:lang w:val="en-US" w:eastAsia="zh-CN"/>
        </w:rPr>
        <w:t>21</w:t>
      </w:r>
      <w:r>
        <w:rPr>
          <w:rFonts w:hint="eastAsia" w:asciiTheme="minorEastAsia" w:hAnsiTheme="minorEastAsia" w:eastAsiaTheme="minorEastAsia" w:cstheme="minorEastAsia"/>
          <w:color w:val="auto"/>
          <w:sz w:val="24"/>
          <w:szCs w:val="24"/>
          <w:highlight w:val="none"/>
        </w:rPr>
        <w:t>年支出6568.25万元</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增加2414.59</w:t>
      </w:r>
      <w:r>
        <w:rPr>
          <w:rFonts w:hint="eastAsia" w:asciiTheme="minorEastAsia" w:hAnsiTheme="minorEastAsia" w:eastAsiaTheme="minorEastAsia" w:cstheme="minorEastAsia"/>
          <w:color w:val="auto"/>
          <w:sz w:val="24"/>
          <w:szCs w:val="24"/>
          <w:highlight w:val="none"/>
        </w:rPr>
        <w:t>万元，</w:t>
      </w:r>
      <w:r>
        <w:rPr>
          <w:rFonts w:hint="eastAsia" w:asciiTheme="minorEastAsia" w:hAnsiTheme="minorEastAsia" w:eastAsiaTheme="minorEastAsia" w:cstheme="minorEastAsia"/>
          <w:color w:val="auto"/>
          <w:sz w:val="24"/>
          <w:szCs w:val="24"/>
          <w:highlight w:val="none"/>
          <w:lang w:val="en-US" w:eastAsia="zh-CN"/>
        </w:rPr>
        <w:t>增幅36.76</w:t>
      </w:r>
      <w:r>
        <w:rPr>
          <w:rFonts w:hint="eastAsia" w:asciiTheme="minorEastAsia" w:hAnsiTheme="minorEastAsia" w:eastAsiaTheme="minorEastAsia" w:cstheme="minorEastAsia"/>
          <w:color w:val="auto"/>
          <w:sz w:val="24"/>
          <w:szCs w:val="24"/>
          <w:highlight w:val="none"/>
        </w:rPr>
        <w:t>%。本年</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三公经费</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支出</w:t>
      </w:r>
      <w:r>
        <w:rPr>
          <w:rFonts w:hint="eastAsia" w:asciiTheme="minorEastAsia" w:hAnsiTheme="minorEastAsia" w:eastAsiaTheme="minorEastAsia" w:cstheme="minorEastAsia"/>
          <w:color w:val="auto"/>
          <w:sz w:val="24"/>
          <w:szCs w:val="24"/>
          <w:highlight w:val="none"/>
          <w:lang w:val="en-US" w:eastAsia="zh-CN"/>
        </w:rPr>
        <w:t>27.74</w:t>
      </w:r>
      <w:r>
        <w:rPr>
          <w:rFonts w:hint="eastAsia" w:asciiTheme="minorEastAsia" w:hAnsiTheme="minorEastAsia" w:eastAsiaTheme="minorEastAsia" w:cstheme="minorEastAsia"/>
          <w:color w:val="auto"/>
          <w:sz w:val="24"/>
          <w:szCs w:val="24"/>
          <w:highlight w:val="none"/>
        </w:rPr>
        <w:t>万元；</w:t>
      </w:r>
      <w:r>
        <w:rPr>
          <w:rFonts w:hint="eastAsia" w:asciiTheme="minorEastAsia" w:hAnsiTheme="minorEastAsia" w:eastAsiaTheme="minorEastAsia" w:cstheme="minorEastAsia"/>
          <w:color w:val="auto"/>
          <w:sz w:val="24"/>
          <w:szCs w:val="24"/>
          <w:highlight w:val="none"/>
          <w:lang w:val="en-US" w:eastAsia="zh-CN"/>
        </w:rPr>
        <w:t>基本</w:t>
      </w:r>
      <w:r>
        <w:rPr>
          <w:rFonts w:hint="eastAsia" w:asciiTheme="minorEastAsia" w:hAnsiTheme="minorEastAsia" w:eastAsiaTheme="minorEastAsia" w:cstheme="minorEastAsia"/>
          <w:color w:val="auto"/>
          <w:sz w:val="24"/>
          <w:szCs w:val="24"/>
          <w:highlight w:val="none"/>
        </w:rPr>
        <w:t>支出</w:t>
      </w:r>
      <w:r>
        <w:rPr>
          <w:rFonts w:hint="eastAsia" w:asciiTheme="minorEastAsia" w:hAnsiTheme="minorEastAsia" w:eastAsiaTheme="minorEastAsia" w:cstheme="minorEastAsia"/>
          <w:color w:val="auto"/>
          <w:sz w:val="24"/>
          <w:szCs w:val="24"/>
          <w:highlight w:val="none"/>
          <w:lang w:val="en-US" w:eastAsia="zh-CN"/>
        </w:rPr>
        <w:t>2834.44</w:t>
      </w:r>
      <w:r>
        <w:rPr>
          <w:rFonts w:hint="eastAsia" w:asciiTheme="minorEastAsia" w:hAnsiTheme="minorEastAsia" w:eastAsiaTheme="minorEastAsia" w:cstheme="minorEastAsia"/>
          <w:color w:val="auto"/>
          <w:sz w:val="24"/>
          <w:szCs w:val="24"/>
          <w:highlight w:val="none"/>
        </w:rPr>
        <w:t>万元</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项目支出6148.40万元</w:t>
      </w:r>
      <w:r>
        <w:rPr>
          <w:rFonts w:hint="eastAsia" w:asciiTheme="minorEastAsia" w:hAnsiTheme="minorEastAsia" w:eastAsiaTheme="minorEastAsia" w:cstheme="minorEastAsia"/>
          <w:color w:val="auto"/>
          <w:sz w:val="24"/>
          <w:szCs w:val="24"/>
          <w:highlight w:val="none"/>
        </w:rPr>
        <w:t>。</w:t>
      </w:r>
    </w:p>
    <w:p>
      <w:pPr>
        <w:pStyle w:val="15"/>
        <w:keepNext w:val="0"/>
        <w:keepLines w:val="0"/>
        <w:pageBreakBefore w:val="0"/>
        <w:widowControl/>
        <w:kinsoku/>
        <w:wordWrap/>
        <w:overflowPunct/>
        <w:topLinePunct w:val="0"/>
        <w:autoSpaceDE/>
        <w:autoSpaceDN/>
        <w:bidi w:val="0"/>
        <w:adjustRightInd/>
        <w:snapToGrid/>
        <w:spacing w:before="185" w:beforeLines="50" w:line="360" w:lineRule="auto"/>
        <w:ind w:left="0" w:leftChars="0" w:firstLine="241" w:firstLineChars="100"/>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（四）绩效评价情况</w:t>
      </w:r>
    </w:p>
    <w:p>
      <w:pPr>
        <w:pStyle w:val="7"/>
        <w:widowControl/>
        <w:shd w:val="clear" w:color="auto" w:fill="FFFFFF"/>
        <w:spacing w:beforeAutospacing="0" w:afterAutospacing="0" w:line="360" w:lineRule="auto"/>
        <w:ind w:firstLine="241" w:firstLineChars="100"/>
        <w:jc w:val="both"/>
        <w:rPr>
          <w:rFonts w:hint="eastAsia" w:asciiTheme="minorEastAsia" w:hAnsiTheme="minorEastAsia" w:eastAsiaTheme="minorEastAsia" w:cstheme="minorEastAsia"/>
          <w:b/>
          <w:bCs/>
          <w:color w:val="auto"/>
          <w:kern w:val="2"/>
          <w:sz w:val="24"/>
          <w:szCs w:val="24"/>
          <w:highlight w:val="none"/>
          <w:lang w:bidi="ar"/>
        </w:rPr>
      </w:pPr>
      <w:r>
        <w:rPr>
          <w:rFonts w:hint="eastAsia" w:asciiTheme="minorEastAsia" w:hAnsiTheme="minorEastAsia" w:eastAsiaTheme="minorEastAsia" w:cstheme="minorEastAsia"/>
          <w:b/>
          <w:bCs/>
          <w:color w:val="auto"/>
          <w:sz w:val="24"/>
          <w:szCs w:val="24"/>
          <w:highlight w:val="none"/>
        </w:rPr>
        <w:t>1</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产出指标</w:t>
      </w:r>
    </w:p>
    <w:p>
      <w:pPr>
        <w:pStyle w:val="7"/>
        <w:widowControl/>
        <w:shd w:val="clear" w:color="auto" w:fill="FFFFFF"/>
        <w:spacing w:beforeAutospacing="0" w:afterAutospacing="0" w:line="360" w:lineRule="auto"/>
        <w:ind w:firstLine="241" w:firstLineChars="100"/>
        <w:jc w:val="both"/>
        <w:rPr>
          <w:rFonts w:hint="eastAsia" w:asciiTheme="minorEastAsia" w:hAnsiTheme="minorEastAsia" w:eastAsiaTheme="minorEastAsia" w:cstheme="minorEastAsia"/>
          <w:b/>
          <w:bCs/>
          <w:color w:val="auto"/>
          <w:kern w:val="2"/>
          <w:sz w:val="24"/>
          <w:szCs w:val="24"/>
          <w:highlight w:val="none"/>
          <w:lang w:bidi="ar"/>
        </w:rPr>
      </w:pPr>
      <w:r>
        <w:rPr>
          <w:rFonts w:hint="eastAsia" w:asciiTheme="minorEastAsia" w:hAnsiTheme="minorEastAsia" w:eastAsiaTheme="minorEastAsia" w:cstheme="minorEastAsia"/>
          <w:b/>
          <w:bCs/>
          <w:color w:val="auto"/>
          <w:kern w:val="2"/>
          <w:sz w:val="24"/>
          <w:szCs w:val="24"/>
          <w:highlight w:val="none"/>
          <w:lang w:bidi="ar"/>
        </w:rPr>
        <w:t>1.1</w:t>
      </w:r>
      <w:bookmarkStart w:id="8" w:name="_Hlk74600334"/>
      <w:r>
        <w:rPr>
          <w:rFonts w:hint="eastAsia" w:asciiTheme="minorEastAsia" w:hAnsiTheme="minorEastAsia" w:eastAsiaTheme="minorEastAsia" w:cstheme="minorEastAsia"/>
          <w:b/>
          <w:bCs/>
          <w:color w:val="auto"/>
          <w:kern w:val="2"/>
          <w:sz w:val="24"/>
          <w:szCs w:val="24"/>
          <w:highlight w:val="none"/>
          <w:lang w:bidi="ar"/>
        </w:rPr>
        <w:t>数量指标</w:t>
      </w:r>
      <w:bookmarkEnd w:id="8"/>
    </w:p>
    <w:p>
      <w:pPr>
        <w:pStyle w:val="7"/>
        <w:widowControl/>
        <w:shd w:val="clear" w:color="auto" w:fill="FFFFFF"/>
        <w:spacing w:beforeAutospacing="0" w:afterAutospacing="0" w:line="360" w:lineRule="auto"/>
        <w:jc w:val="both"/>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（1）工业增加值。全州规模工业增加值同比增长0.1%。</w:t>
      </w:r>
    </w:p>
    <w:p>
      <w:pPr>
        <w:pStyle w:val="7"/>
        <w:widowControl/>
        <w:shd w:val="clear" w:color="auto" w:fill="FFFFFF"/>
        <w:spacing w:beforeAutospacing="0" w:afterAutospacing="0" w:line="360" w:lineRule="auto"/>
        <w:jc w:val="both"/>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（2）新增入规企业。全州新增规模工业企业35户，规模工业企业总数达到348户，创历史新高。</w:t>
      </w:r>
    </w:p>
    <w:p>
      <w:pPr>
        <w:pStyle w:val="7"/>
        <w:widowControl/>
        <w:shd w:val="clear" w:color="auto" w:fill="FFFFFF"/>
        <w:spacing w:beforeAutospacing="0" w:afterAutospacing="0" w:line="360" w:lineRule="auto"/>
        <w:jc w:val="both"/>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（3）招商引资。2022年全州新招引落地3000万元以上的工业项目40个，合同或协议投资额达102.55亿元。</w:t>
      </w:r>
    </w:p>
    <w:p>
      <w:pPr>
        <w:pStyle w:val="7"/>
        <w:widowControl/>
        <w:shd w:val="clear" w:color="auto" w:fill="FFFFFF"/>
        <w:spacing w:beforeAutospacing="0" w:afterAutospacing="0" w:line="360" w:lineRule="auto"/>
        <w:jc w:val="both"/>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（4）完成工业投资。工业投资增长10.1%，运行基本稳定。</w:t>
      </w:r>
    </w:p>
    <w:p>
      <w:pPr>
        <w:pStyle w:val="7"/>
        <w:widowControl/>
        <w:shd w:val="clear" w:color="auto" w:fill="FFFFFF"/>
        <w:spacing w:beforeAutospacing="0" w:afterAutospacing="0" w:line="360" w:lineRule="auto"/>
        <w:ind w:firstLine="241" w:firstLineChars="100"/>
        <w:jc w:val="both"/>
        <w:rPr>
          <w:rFonts w:hint="eastAsia" w:asciiTheme="minorEastAsia" w:hAnsiTheme="minorEastAsia" w:eastAsiaTheme="minorEastAsia" w:cstheme="minorEastAsia"/>
          <w:b/>
          <w:bCs/>
          <w:color w:val="auto"/>
          <w:kern w:val="2"/>
          <w:sz w:val="24"/>
          <w:szCs w:val="24"/>
          <w:highlight w:val="none"/>
          <w:lang w:bidi="ar"/>
        </w:rPr>
      </w:pPr>
      <w:r>
        <w:rPr>
          <w:rFonts w:hint="eastAsia" w:asciiTheme="minorEastAsia" w:hAnsiTheme="minorEastAsia" w:eastAsiaTheme="minorEastAsia" w:cstheme="minorEastAsia"/>
          <w:b/>
          <w:bCs/>
          <w:color w:val="auto"/>
          <w:kern w:val="2"/>
          <w:sz w:val="24"/>
          <w:szCs w:val="24"/>
          <w:highlight w:val="none"/>
          <w:lang w:bidi="ar"/>
        </w:rPr>
        <w:t>1.2</w:t>
      </w:r>
      <w:bookmarkStart w:id="9" w:name="_Hlk74600346"/>
      <w:r>
        <w:rPr>
          <w:rFonts w:hint="eastAsia" w:asciiTheme="minorEastAsia" w:hAnsiTheme="minorEastAsia" w:eastAsiaTheme="minorEastAsia" w:cstheme="minorEastAsia"/>
          <w:b/>
          <w:bCs/>
          <w:color w:val="auto"/>
          <w:kern w:val="2"/>
          <w:sz w:val="24"/>
          <w:szCs w:val="24"/>
          <w:highlight w:val="none"/>
          <w:lang w:bidi="ar"/>
        </w:rPr>
        <w:t>质量指标</w:t>
      </w:r>
    </w:p>
    <w:bookmarkEnd w:id="9"/>
    <w:p>
      <w:pPr>
        <w:pStyle w:val="7"/>
        <w:widowControl/>
        <w:shd w:val="clear" w:color="auto" w:fill="FFFFFF"/>
        <w:spacing w:beforeAutospacing="0" w:afterAutospacing="0" w:line="360" w:lineRule="auto"/>
        <w:jc w:val="both"/>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（1）预算资金使用到位率。202</w:t>
      </w:r>
      <w:r>
        <w:rPr>
          <w:rFonts w:hint="eastAsia" w:asciiTheme="minorEastAsia" w:hAnsiTheme="minorEastAsia" w:eastAsiaTheme="minorEastAsia" w:cstheme="minorEastAsia"/>
          <w:color w:val="auto"/>
          <w:kern w:val="2"/>
          <w:sz w:val="24"/>
          <w:szCs w:val="24"/>
          <w:highlight w:val="none"/>
          <w:lang w:val="en-US" w:eastAsia="zh-CN"/>
        </w:rPr>
        <w:t>2</w:t>
      </w:r>
      <w:r>
        <w:rPr>
          <w:rFonts w:hint="eastAsia" w:asciiTheme="minorEastAsia" w:hAnsiTheme="minorEastAsia" w:eastAsiaTheme="minorEastAsia" w:cstheme="minorEastAsia"/>
          <w:color w:val="auto"/>
          <w:kern w:val="2"/>
          <w:sz w:val="24"/>
          <w:szCs w:val="24"/>
          <w:highlight w:val="none"/>
        </w:rPr>
        <w:t>年财政预算资金</w:t>
      </w:r>
      <w:r>
        <w:rPr>
          <w:rFonts w:hint="eastAsia" w:asciiTheme="minorEastAsia" w:hAnsiTheme="minorEastAsia" w:eastAsiaTheme="minorEastAsia" w:cstheme="minorEastAsia"/>
          <w:color w:val="auto"/>
          <w:kern w:val="2"/>
          <w:sz w:val="24"/>
          <w:szCs w:val="24"/>
          <w:highlight w:val="none"/>
          <w:lang w:val="en-US" w:eastAsia="zh-CN"/>
        </w:rPr>
        <w:t>8988.94</w:t>
      </w:r>
      <w:r>
        <w:rPr>
          <w:rFonts w:hint="eastAsia" w:asciiTheme="minorEastAsia" w:hAnsiTheme="minorEastAsia" w:eastAsiaTheme="minorEastAsia" w:cstheme="minorEastAsia"/>
          <w:color w:val="auto"/>
          <w:kern w:val="2"/>
          <w:sz w:val="24"/>
          <w:szCs w:val="24"/>
          <w:highlight w:val="none"/>
        </w:rPr>
        <w:t>万元，全年整体支出合计</w:t>
      </w:r>
      <w:r>
        <w:rPr>
          <w:rFonts w:hint="eastAsia" w:asciiTheme="minorEastAsia" w:hAnsiTheme="minorEastAsia" w:eastAsiaTheme="minorEastAsia" w:cstheme="minorEastAsia"/>
          <w:color w:val="auto"/>
          <w:kern w:val="2"/>
          <w:sz w:val="24"/>
          <w:szCs w:val="24"/>
          <w:highlight w:val="none"/>
          <w:lang w:val="en-US" w:eastAsia="zh-CN"/>
        </w:rPr>
        <w:t>8982.84</w:t>
      </w:r>
      <w:r>
        <w:rPr>
          <w:rFonts w:hint="eastAsia" w:asciiTheme="minorEastAsia" w:hAnsiTheme="minorEastAsia" w:eastAsiaTheme="minorEastAsia" w:cstheme="minorEastAsia"/>
          <w:color w:val="auto"/>
          <w:kern w:val="2"/>
          <w:sz w:val="24"/>
          <w:szCs w:val="24"/>
          <w:highlight w:val="none"/>
        </w:rPr>
        <w:t>万元，预算</w:t>
      </w:r>
      <w:r>
        <w:rPr>
          <w:rFonts w:hint="eastAsia" w:asciiTheme="minorEastAsia" w:hAnsiTheme="minorEastAsia" w:eastAsiaTheme="minorEastAsia" w:cstheme="minorEastAsia"/>
          <w:color w:val="auto"/>
          <w:kern w:val="2"/>
          <w:sz w:val="24"/>
          <w:szCs w:val="24"/>
          <w:highlight w:val="none"/>
          <w:lang w:val="en-US" w:eastAsia="zh-CN"/>
        </w:rPr>
        <w:t>资金使用</w:t>
      </w:r>
      <w:r>
        <w:rPr>
          <w:rFonts w:hint="eastAsia" w:asciiTheme="minorEastAsia" w:hAnsiTheme="minorEastAsia" w:eastAsiaTheme="minorEastAsia" w:cstheme="minorEastAsia"/>
          <w:color w:val="auto"/>
          <w:kern w:val="2"/>
          <w:sz w:val="24"/>
          <w:szCs w:val="24"/>
          <w:highlight w:val="none"/>
        </w:rPr>
        <w:t>到位率</w:t>
      </w:r>
      <w:r>
        <w:rPr>
          <w:rFonts w:hint="eastAsia" w:asciiTheme="minorEastAsia" w:hAnsiTheme="minorEastAsia" w:eastAsiaTheme="minorEastAsia" w:cstheme="minorEastAsia"/>
          <w:color w:val="auto"/>
          <w:kern w:val="2"/>
          <w:sz w:val="24"/>
          <w:szCs w:val="24"/>
          <w:highlight w:val="none"/>
          <w:lang w:val="en-US" w:eastAsia="zh-CN"/>
        </w:rPr>
        <w:t>99.93</w:t>
      </w:r>
      <w:r>
        <w:rPr>
          <w:rFonts w:hint="eastAsia" w:asciiTheme="minorEastAsia" w:hAnsiTheme="minorEastAsia" w:eastAsiaTheme="minorEastAsia" w:cstheme="minorEastAsia"/>
          <w:color w:val="auto"/>
          <w:kern w:val="2"/>
          <w:sz w:val="24"/>
          <w:szCs w:val="24"/>
          <w:highlight w:val="none"/>
        </w:rPr>
        <w:t>%。</w:t>
      </w:r>
    </w:p>
    <w:p>
      <w:pPr>
        <w:pStyle w:val="7"/>
        <w:widowControl/>
        <w:shd w:val="clear" w:color="auto" w:fill="FFFFFF"/>
        <w:spacing w:beforeAutospacing="0" w:afterAutospacing="0" w:line="360" w:lineRule="auto"/>
        <w:jc w:val="both"/>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（2）</w:t>
      </w:r>
      <w:bookmarkStart w:id="10" w:name="_Hlk75404465"/>
      <w:r>
        <w:rPr>
          <w:rFonts w:hint="eastAsia" w:asciiTheme="minorEastAsia" w:hAnsiTheme="minorEastAsia" w:eastAsiaTheme="minorEastAsia" w:cstheme="minorEastAsia"/>
          <w:color w:val="auto"/>
          <w:kern w:val="2"/>
          <w:sz w:val="24"/>
          <w:szCs w:val="24"/>
          <w:highlight w:val="none"/>
        </w:rPr>
        <w:t>“纾困增效”行动持续深化</w:t>
      </w:r>
      <w:r>
        <w:rPr>
          <w:rFonts w:hint="eastAsia" w:asciiTheme="minorEastAsia" w:hAnsiTheme="minorEastAsia" w:eastAsiaTheme="minorEastAsia" w:cstheme="minorEastAsia"/>
          <w:color w:val="auto"/>
          <w:kern w:val="2"/>
          <w:sz w:val="24"/>
          <w:szCs w:val="24"/>
          <w:highlight w:val="none"/>
          <w:lang w:eastAsia="zh-CN"/>
        </w:rPr>
        <w:t>。</w:t>
      </w:r>
      <w:r>
        <w:rPr>
          <w:rFonts w:hint="eastAsia" w:asciiTheme="minorEastAsia" w:hAnsiTheme="minorEastAsia" w:eastAsiaTheme="minorEastAsia" w:cstheme="minorEastAsia"/>
          <w:color w:val="auto"/>
          <w:kern w:val="2"/>
          <w:sz w:val="24"/>
          <w:szCs w:val="24"/>
          <w:highlight w:val="none"/>
        </w:rPr>
        <w:t>深入开展“敲门行动”，组建财务、税务、工艺技术、金融等方面的专家团队，上门为亏损企业把脉问诊，助力企业扭亏为盈。扎实推进干部联企“送政策、解难题、优服务”行动，累计选派联企干部1867名，走访企业2265家，答复解决企业反映问题2823个，帮助企业化解了一大批“急难愁盼”，促进了惠企政策的落实兑现。</w:t>
      </w:r>
    </w:p>
    <w:bookmarkEnd w:id="10"/>
    <w:p>
      <w:pPr>
        <w:pStyle w:val="7"/>
        <w:widowControl/>
        <w:shd w:val="clear" w:color="auto" w:fill="FFFFFF"/>
        <w:spacing w:beforeAutospacing="0" w:afterAutospacing="0" w:line="360" w:lineRule="auto"/>
        <w:jc w:val="both"/>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（3）优势产业持续发力</w:t>
      </w:r>
      <w:r>
        <w:rPr>
          <w:rFonts w:hint="eastAsia" w:asciiTheme="minorEastAsia" w:hAnsiTheme="minorEastAsia" w:eastAsiaTheme="minorEastAsia" w:cstheme="minorEastAsia"/>
          <w:color w:val="auto"/>
          <w:kern w:val="2"/>
          <w:sz w:val="24"/>
          <w:szCs w:val="24"/>
          <w:highlight w:val="none"/>
          <w:lang w:eastAsia="zh-CN"/>
        </w:rPr>
        <w:t>。</w:t>
      </w:r>
      <w:r>
        <w:rPr>
          <w:rFonts w:hint="eastAsia" w:asciiTheme="minorEastAsia" w:hAnsiTheme="minorEastAsia" w:eastAsiaTheme="minorEastAsia" w:cstheme="minorEastAsia"/>
          <w:color w:val="auto"/>
          <w:kern w:val="2"/>
          <w:sz w:val="24"/>
          <w:szCs w:val="24"/>
          <w:highlight w:val="none"/>
        </w:rPr>
        <w:t>以“链长制”为总揽，大力推进10条优势产业链建设，有力支撑我州经济大盘稳定和经济高质量发展。全州10条优势产业链“四上企业”实现产值增速4.5%、应纳税收同比增长23.2%。</w:t>
      </w:r>
    </w:p>
    <w:p>
      <w:pPr>
        <w:pStyle w:val="7"/>
        <w:widowControl/>
        <w:shd w:val="clear" w:color="auto" w:fill="FFFFFF"/>
        <w:spacing w:beforeAutospacing="0" w:afterAutospacing="0" w:line="360" w:lineRule="auto"/>
        <w:jc w:val="both"/>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（4）绩效目标合理性。本局202</w:t>
      </w:r>
      <w:r>
        <w:rPr>
          <w:rFonts w:hint="eastAsia" w:asciiTheme="minorEastAsia" w:hAnsiTheme="minorEastAsia" w:eastAsiaTheme="minorEastAsia" w:cstheme="minorEastAsia"/>
          <w:color w:val="auto"/>
          <w:kern w:val="2"/>
          <w:sz w:val="24"/>
          <w:szCs w:val="24"/>
          <w:highlight w:val="none"/>
          <w:lang w:val="en-US" w:eastAsia="zh-CN"/>
        </w:rPr>
        <w:t>2</w:t>
      </w:r>
      <w:r>
        <w:rPr>
          <w:rFonts w:hint="eastAsia" w:asciiTheme="minorEastAsia" w:hAnsiTheme="minorEastAsia" w:eastAsiaTheme="minorEastAsia" w:cstheme="minorEastAsia"/>
          <w:color w:val="auto"/>
          <w:kern w:val="2"/>
          <w:sz w:val="24"/>
          <w:szCs w:val="24"/>
          <w:highlight w:val="none"/>
        </w:rPr>
        <w:t>年所设立的整体绩效目标依据充分，符合客观实际；本局202</w:t>
      </w:r>
      <w:r>
        <w:rPr>
          <w:rFonts w:hint="eastAsia" w:asciiTheme="minorEastAsia" w:hAnsiTheme="minorEastAsia" w:eastAsiaTheme="minorEastAsia" w:cstheme="minorEastAsia"/>
          <w:color w:val="auto"/>
          <w:kern w:val="2"/>
          <w:sz w:val="24"/>
          <w:szCs w:val="24"/>
          <w:highlight w:val="none"/>
          <w:lang w:val="en-US" w:eastAsia="zh-CN"/>
        </w:rPr>
        <w:t>2</w:t>
      </w:r>
      <w:r>
        <w:rPr>
          <w:rFonts w:hint="eastAsia" w:asciiTheme="minorEastAsia" w:hAnsiTheme="minorEastAsia" w:eastAsiaTheme="minorEastAsia" w:cstheme="minorEastAsia"/>
          <w:color w:val="auto"/>
          <w:kern w:val="2"/>
          <w:sz w:val="24"/>
          <w:szCs w:val="24"/>
          <w:highlight w:val="none"/>
        </w:rPr>
        <w:t>年度预算资金的使用严格按照部门的目标所涉及的业务范围和计划执行，本局目标设定符合本局的工作职责并圆满完成了202</w:t>
      </w:r>
      <w:r>
        <w:rPr>
          <w:rFonts w:hint="eastAsia" w:asciiTheme="minorEastAsia" w:hAnsiTheme="minorEastAsia" w:eastAsiaTheme="minorEastAsia" w:cstheme="minorEastAsia"/>
          <w:color w:val="auto"/>
          <w:kern w:val="2"/>
          <w:sz w:val="24"/>
          <w:szCs w:val="24"/>
          <w:highlight w:val="none"/>
          <w:lang w:val="en-US" w:eastAsia="zh-CN"/>
        </w:rPr>
        <w:t>2</w:t>
      </w:r>
      <w:r>
        <w:rPr>
          <w:rFonts w:hint="eastAsia" w:asciiTheme="minorEastAsia" w:hAnsiTheme="minorEastAsia" w:eastAsiaTheme="minorEastAsia" w:cstheme="minorEastAsia"/>
          <w:color w:val="auto"/>
          <w:kern w:val="2"/>
          <w:sz w:val="24"/>
          <w:szCs w:val="24"/>
          <w:highlight w:val="none"/>
        </w:rPr>
        <w:t>年的绩效目标。</w:t>
      </w:r>
    </w:p>
    <w:p>
      <w:pPr>
        <w:pStyle w:val="7"/>
        <w:widowControl/>
        <w:shd w:val="clear" w:color="auto" w:fill="FFFFFF"/>
        <w:spacing w:beforeAutospacing="0" w:afterAutospacing="0" w:line="360" w:lineRule="auto"/>
        <w:jc w:val="both"/>
        <w:rPr>
          <w:rFonts w:hint="eastAsia" w:asciiTheme="minorEastAsia" w:hAnsiTheme="minorEastAsia" w:eastAsiaTheme="minorEastAsia" w:cstheme="minorEastAsia"/>
          <w:b/>
          <w:bCs/>
          <w:color w:val="auto"/>
          <w:kern w:val="2"/>
          <w:sz w:val="24"/>
          <w:szCs w:val="24"/>
          <w:highlight w:val="none"/>
          <w:lang w:bidi="ar"/>
        </w:rPr>
      </w:pPr>
      <w:r>
        <w:rPr>
          <w:rFonts w:hint="eastAsia" w:asciiTheme="minorEastAsia" w:hAnsiTheme="minorEastAsia" w:eastAsiaTheme="minorEastAsia" w:cstheme="minorEastAsia"/>
          <w:b/>
          <w:bCs/>
          <w:color w:val="auto"/>
          <w:kern w:val="2"/>
          <w:sz w:val="24"/>
          <w:szCs w:val="24"/>
          <w:highlight w:val="none"/>
          <w:lang w:bidi="ar"/>
        </w:rPr>
        <w:t>1.3</w:t>
      </w:r>
      <w:bookmarkStart w:id="11" w:name="_Hlk74600364"/>
      <w:r>
        <w:rPr>
          <w:rFonts w:hint="eastAsia" w:asciiTheme="minorEastAsia" w:hAnsiTheme="minorEastAsia" w:eastAsiaTheme="minorEastAsia" w:cstheme="minorEastAsia"/>
          <w:b/>
          <w:bCs/>
          <w:color w:val="auto"/>
          <w:kern w:val="2"/>
          <w:sz w:val="24"/>
          <w:szCs w:val="24"/>
          <w:highlight w:val="none"/>
          <w:lang w:bidi="ar"/>
        </w:rPr>
        <w:t>时效指标</w:t>
      </w:r>
    </w:p>
    <w:bookmarkEnd w:id="11"/>
    <w:p>
      <w:pPr>
        <w:pStyle w:val="7"/>
        <w:widowControl/>
        <w:shd w:val="clear" w:color="auto" w:fill="FFFFFF"/>
        <w:spacing w:beforeAutospacing="0" w:afterAutospacing="0" w:line="360" w:lineRule="auto"/>
        <w:jc w:val="both"/>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（1）重点工作完成率。本局全年围绕202</w:t>
      </w:r>
      <w:r>
        <w:rPr>
          <w:rFonts w:hint="eastAsia" w:asciiTheme="minorEastAsia" w:hAnsiTheme="minorEastAsia" w:eastAsiaTheme="minorEastAsia" w:cstheme="minorEastAsia"/>
          <w:color w:val="auto"/>
          <w:kern w:val="2"/>
          <w:sz w:val="24"/>
          <w:szCs w:val="24"/>
          <w:highlight w:val="none"/>
          <w:lang w:val="en-US" w:eastAsia="zh-CN"/>
        </w:rPr>
        <w:t>2</w:t>
      </w:r>
      <w:r>
        <w:rPr>
          <w:rFonts w:hint="eastAsia" w:asciiTheme="minorEastAsia" w:hAnsiTheme="minorEastAsia" w:eastAsiaTheme="minorEastAsia" w:cstheme="minorEastAsia"/>
          <w:color w:val="auto"/>
          <w:kern w:val="2"/>
          <w:sz w:val="24"/>
          <w:szCs w:val="24"/>
          <w:highlight w:val="none"/>
        </w:rPr>
        <w:t>年重点任务和目标落实支出工作，并圆满完成了本局的各项工作目标，重点工作安排完成率100%。</w:t>
      </w:r>
    </w:p>
    <w:p>
      <w:pPr>
        <w:pStyle w:val="7"/>
        <w:widowControl/>
        <w:shd w:val="clear" w:color="auto" w:fill="FFFFFF"/>
        <w:spacing w:beforeAutospacing="0" w:afterAutospacing="0" w:line="360" w:lineRule="auto"/>
        <w:jc w:val="both"/>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（2）重要精神传达及时率。202</w:t>
      </w:r>
      <w:r>
        <w:rPr>
          <w:rFonts w:hint="eastAsia" w:asciiTheme="minorEastAsia" w:hAnsiTheme="minorEastAsia" w:eastAsiaTheme="minorEastAsia" w:cstheme="minorEastAsia"/>
          <w:color w:val="auto"/>
          <w:kern w:val="2"/>
          <w:sz w:val="24"/>
          <w:szCs w:val="24"/>
          <w:highlight w:val="none"/>
          <w:lang w:val="en-US" w:eastAsia="zh-CN"/>
        </w:rPr>
        <w:t>2</w:t>
      </w:r>
      <w:r>
        <w:rPr>
          <w:rFonts w:hint="eastAsia" w:asciiTheme="minorEastAsia" w:hAnsiTheme="minorEastAsia" w:eastAsiaTheme="minorEastAsia" w:cstheme="minorEastAsia"/>
          <w:color w:val="auto"/>
          <w:kern w:val="2"/>
          <w:sz w:val="24"/>
          <w:szCs w:val="24"/>
          <w:highlight w:val="none"/>
        </w:rPr>
        <w:t>年本局重点学习党的</w:t>
      </w:r>
      <w:r>
        <w:rPr>
          <w:rFonts w:hint="eastAsia" w:asciiTheme="minorEastAsia" w:hAnsiTheme="minorEastAsia" w:eastAsiaTheme="minorEastAsia" w:cstheme="minorEastAsia"/>
          <w:color w:val="auto"/>
          <w:kern w:val="2"/>
          <w:sz w:val="24"/>
          <w:szCs w:val="24"/>
          <w:highlight w:val="none"/>
          <w:lang w:val="en-US" w:eastAsia="zh-CN"/>
        </w:rPr>
        <w:t>二十大</w:t>
      </w:r>
      <w:r>
        <w:rPr>
          <w:rFonts w:hint="eastAsia" w:asciiTheme="minorEastAsia" w:hAnsiTheme="minorEastAsia" w:eastAsiaTheme="minorEastAsia" w:cstheme="minorEastAsia"/>
          <w:color w:val="auto"/>
          <w:kern w:val="2"/>
          <w:sz w:val="24"/>
          <w:szCs w:val="24"/>
          <w:highlight w:val="none"/>
        </w:rPr>
        <w:t>精神</w:t>
      </w:r>
      <w:r>
        <w:rPr>
          <w:rFonts w:hint="eastAsia" w:asciiTheme="minorEastAsia" w:hAnsiTheme="minorEastAsia" w:eastAsiaTheme="minorEastAsia" w:cstheme="minorEastAsia"/>
          <w:color w:val="auto"/>
          <w:kern w:val="2"/>
          <w:sz w:val="24"/>
          <w:szCs w:val="24"/>
          <w:highlight w:val="none"/>
          <w:lang w:val="en-US" w:eastAsia="zh-CN"/>
        </w:rPr>
        <w:t>、</w:t>
      </w:r>
      <w:r>
        <w:rPr>
          <w:rFonts w:hint="eastAsia" w:asciiTheme="minorEastAsia" w:hAnsiTheme="minorEastAsia" w:eastAsiaTheme="minorEastAsia" w:cstheme="minorEastAsia"/>
          <w:color w:val="auto"/>
          <w:kern w:val="2"/>
          <w:sz w:val="24"/>
          <w:szCs w:val="24"/>
          <w:highlight w:val="none"/>
        </w:rPr>
        <w:t>习近平总书记重要讲话精神和《习近平谈治国理政》等内容，重要精神传达及时率100%。</w:t>
      </w:r>
    </w:p>
    <w:p>
      <w:pPr>
        <w:pStyle w:val="7"/>
        <w:widowControl/>
        <w:shd w:val="clear" w:color="auto" w:fill="FFFFFF"/>
        <w:spacing w:beforeAutospacing="0" w:afterAutospacing="0" w:line="360" w:lineRule="auto"/>
        <w:jc w:val="both"/>
        <w:rPr>
          <w:rFonts w:hint="eastAsia" w:asciiTheme="minorEastAsia" w:hAnsiTheme="minorEastAsia" w:eastAsiaTheme="minorEastAsia" w:cstheme="minorEastAsia"/>
          <w:b/>
          <w:bCs/>
          <w:color w:val="auto"/>
          <w:kern w:val="2"/>
          <w:sz w:val="24"/>
          <w:szCs w:val="24"/>
          <w:highlight w:val="none"/>
          <w:lang w:bidi="ar"/>
        </w:rPr>
      </w:pPr>
      <w:r>
        <w:rPr>
          <w:rFonts w:hint="eastAsia" w:asciiTheme="minorEastAsia" w:hAnsiTheme="minorEastAsia" w:eastAsiaTheme="minorEastAsia" w:cstheme="minorEastAsia"/>
          <w:b/>
          <w:bCs/>
          <w:color w:val="auto"/>
          <w:kern w:val="2"/>
          <w:sz w:val="24"/>
          <w:szCs w:val="24"/>
          <w:highlight w:val="none"/>
          <w:lang w:bidi="ar"/>
        </w:rPr>
        <w:t>1.4</w:t>
      </w:r>
      <w:bookmarkStart w:id="12" w:name="_Hlk74600380"/>
      <w:r>
        <w:rPr>
          <w:rFonts w:hint="eastAsia" w:asciiTheme="minorEastAsia" w:hAnsiTheme="minorEastAsia" w:eastAsiaTheme="minorEastAsia" w:cstheme="minorEastAsia"/>
          <w:b/>
          <w:bCs/>
          <w:color w:val="auto"/>
          <w:kern w:val="2"/>
          <w:sz w:val="24"/>
          <w:szCs w:val="24"/>
          <w:highlight w:val="none"/>
          <w:lang w:bidi="ar"/>
        </w:rPr>
        <w:t>成本指标</w:t>
      </w:r>
    </w:p>
    <w:bookmarkEnd w:id="12"/>
    <w:p>
      <w:pPr>
        <w:pStyle w:val="7"/>
        <w:widowControl/>
        <w:numPr>
          <w:ilvl w:val="0"/>
          <w:numId w:val="0"/>
        </w:numPr>
        <w:shd w:val="clear" w:color="auto" w:fill="FFFFFF"/>
        <w:spacing w:beforeAutospacing="0" w:afterAutospacing="0" w:line="360" w:lineRule="auto"/>
        <w:jc w:val="both"/>
        <w:rPr>
          <w:rFonts w:hint="eastAsia" w:asciiTheme="minorEastAsia" w:hAnsiTheme="minorEastAsia" w:eastAsiaTheme="minorEastAsia" w:cstheme="minorEastAsia"/>
          <w:color w:val="auto"/>
          <w:kern w:val="2"/>
          <w:sz w:val="24"/>
          <w:szCs w:val="24"/>
          <w:highlight w:val="none"/>
          <w:lang w:bidi="ar"/>
        </w:rPr>
      </w:pPr>
      <w:r>
        <w:rPr>
          <w:rFonts w:hint="eastAsia" w:asciiTheme="minorEastAsia" w:hAnsiTheme="minorEastAsia" w:eastAsiaTheme="minorEastAsia" w:cstheme="minorEastAsia"/>
          <w:color w:val="auto"/>
          <w:kern w:val="2"/>
          <w:sz w:val="24"/>
          <w:szCs w:val="24"/>
          <w:highlight w:val="none"/>
        </w:rPr>
        <w:t>（1）</w:t>
      </w:r>
      <w:r>
        <w:rPr>
          <w:rFonts w:hint="eastAsia" w:asciiTheme="minorEastAsia" w:hAnsiTheme="minorEastAsia" w:eastAsiaTheme="minorEastAsia" w:cstheme="minorEastAsia"/>
          <w:color w:val="auto"/>
          <w:kern w:val="2"/>
          <w:sz w:val="24"/>
          <w:szCs w:val="24"/>
          <w:highlight w:val="none"/>
          <w:lang w:bidi="ar"/>
        </w:rPr>
        <w:t>在职人员控制率。202</w:t>
      </w:r>
      <w:r>
        <w:rPr>
          <w:rFonts w:hint="eastAsia" w:asciiTheme="minorEastAsia" w:hAnsiTheme="minorEastAsia" w:eastAsiaTheme="minorEastAsia" w:cstheme="minorEastAsia"/>
          <w:color w:val="auto"/>
          <w:kern w:val="2"/>
          <w:sz w:val="24"/>
          <w:szCs w:val="24"/>
          <w:highlight w:val="none"/>
          <w:lang w:val="en-US" w:eastAsia="zh-CN" w:bidi="ar"/>
        </w:rPr>
        <w:t>2</w:t>
      </w:r>
      <w:r>
        <w:rPr>
          <w:rFonts w:hint="eastAsia" w:asciiTheme="minorEastAsia" w:hAnsiTheme="minorEastAsia" w:eastAsiaTheme="minorEastAsia" w:cstheme="minorEastAsia"/>
          <w:color w:val="auto"/>
          <w:kern w:val="2"/>
          <w:sz w:val="24"/>
          <w:szCs w:val="24"/>
          <w:highlight w:val="none"/>
          <w:lang w:bidi="ar"/>
        </w:rPr>
        <w:t>年本局</w:t>
      </w:r>
      <w:r>
        <w:rPr>
          <w:rFonts w:hint="eastAsia" w:asciiTheme="minorEastAsia" w:hAnsiTheme="minorEastAsia" w:eastAsiaTheme="minorEastAsia" w:cstheme="minorEastAsia"/>
          <w:color w:val="auto"/>
          <w:kern w:val="2"/>
          <w:sz w:val="24"/>
          <w:szCs w:val="24"/>
          <w:highlight w:val="none"/>
          <w:lang w:val="en-US" w:eastAsia="zh-CN" w:bidi="ar"/>
        </w:rPr>
        <w:t>及二级机构</w:t>
      </w:r>
      <w:r>
        <w:rPr>
          <w:rFonts w:hint="eastAsia" w:asciiTheme="minorEastAsia" w:hAnsiTheme="minorEastAsia" w:eastAsiaTheme="minorEastAsia" w:cstheme="minorEastAsia"/>
          <w:color w:val="auto"/>
          <w:kern w:val="2"/>
          <w:sz w:val="24"/>
          <w:szCs w:val="24"/>
          <w:highlight w:val="none"/>
          <w:lang w:bidi="ar"/>
        </w:rPr>
        <w:t>共有编制91人，202</w:t>
      </w:r>
      <w:r>
        <w:rPr>
          <w:rFonts w:hint="eastAsia" w:asciiTheme="minorEastAsia" w:hAnsiTheme="minorEastAsia" w:eastAsiaTheme="minorEastAsia" w:cstheme="minorEastAsia"/>
          <w:color w:val="auto"/>
          <w:kern w:val="2"/>
          <w:sz w:val="24"/>
          <w:szCs w:val="24"/>
          <w:highlight w:val="none"/>
          <w:lang w:val="en-US" w:eastAsia="zh-CN" w:bidi="ar"/>
        </w:rPr>
        <w:t>2</w:t>
      </w:r>
      <w:r>
        <w:rPr>
          <w:rFonts w:hint="eastAsia" w:asciiTheme="minorEastAsia" w:hAnsiTheme="minorEastAsia" w:eastAsiaTheme="minorEastAsia" w:cstheme="minorEastAsia"/>
          <w:color w:val="auto"/>
          <w:kern w:val="2"/>
          <w:sz w:val="24"/>
          <w:szCs w:val="24"/>
          <w:highlight w:val="none"/>
          <w:lang w:bidi="ar"/>
        </w:rPr>
        <w:t>年末实有在职人数为</w:t>
      </w:r>
      <w:r>
        <w:rPr>
          <w:rFonts w:hint="eastAsia" w:asciiTheme="minorEastAsia" w:hAnsiTheme="minorEastAsia" w:eastAsiaTheme="minorEastAsia" w:cstheme="minorEastAsia"/>
          <w:color w:val="auto"/>
          <w:kern w:val="2"/>
          <w:sz w:val="24"/>
          <w:szCs w:val="24"/>
          <w:highlight w:val="none"/>
          <w:lang w:val="en-US" w:eastAsia="zh-CN" w:bidi="ar"/>
        </w:rPr>
        <w:t>78人</w:t>
      </w:r>
      <w:r>
        <w:rPr>
          <w:rFonts w:hint="eastAsia" w:asciiTheme="minorEastAsia" w:hAnsiTheme="minorEastAsia" w:eastAsiaTheme="minorEastAsia" w:cstheme="minorEastAsia"/>
          <w:color w:val="auto"/>
          <w:kern w:val="2"/>
          <w:sz w:val="24"/>
          <w:szCs w:val="24"/>
          <w:highlight w:val="none"/>
          <w:lang w:bidi="ar"/>
        </w:rPr>
        <w:t>，本年度本局在职人员控制率为</w:t>
      </w:r>
      <w:r>
        <w:rPr>
          <w:rFonts w:hint="eastAsia" w:asciiTheme="minorEastAsia" w:hAnsiTheme="minorEastAsia" w:eastAsiaTheme="minorEastAsia" w:cstheme="minorEastAsia"/>
          <w:color w:val="auto"/>
          <w:kern w:val="2"/>
          <w:sz w:val="24"/>
          <w:szCs w:val="24"/>
          <w:highlight w:val="none"/>
          <w:lang w:val="en-US" w:eastAsia="zh-CN" w:bidi="ar"/>
        </w:rPr>
        <w:t>85.71</w:t>
      </w:r>
      <w:r>
        <w:rPr>
          <w:rFonts w:hint="eastAsia" w:asciiTheme="minorEastAsia" w:hAnsiTheme="minorEastAsia" w:eastAsiaTheme="minorEastAsia" w:cstheme="minorEastAsia"/>
          <w:color w:val="auto"/>
          <w:kern w:val="2"/>
          <w:sz w:val="24"/>
          <w:szCs w:val="24"/>
          <w:highlight w:val="none"/>
          <w:lang w:bidi="ar"/>
        </w:rPr>
        <w:t>%。</w:t>
      </w:r>
    </w:p>
    <w:p>
      <w:pPr>
        <w:pStyle w:val="7"/>
        <w:widowControl/>
        <w:numPr>
          <w:ilvl w:val="0"/>
          <w:numId w:val="0"/>
        </w:numPr>
        <w:shd w:val="clear" w:color="auto" w:fill="FFFFFF"/>
        <w:spacing w:beforeAutospacing="0" w:afterAutospacing="0" w:line="360" w:lineRule="auto"/>
        <w:jc w:val="both"/>
        <w:rPr>
          <w:rFonts w:hint="eastAsia" w:asciiTheme="minorEastAsia" w:hAnsiTheme="minorEastAsia" w:eastAsiaTheme="minorEastAsia" w:cstheme="minorEastAsia"/>
          <w:color w:val="auto"/>
          <w:kern w:val="2"/>
          <w:sz w:val="24"/>
          <w:szCs w:val="24"/>
          <w:highlight w:val="none"/>
          <w:lang w:bidi="ar"/>
        </w:rPr>
      </w:pPr>
      <w:r>
        <w:rPr>
          <w:rFonts w:hint="eastAsia" w:asciiTheme="minorEastAsia" w:hAnsiTheme="minorEastAsia" w:eastAsiaTheme="minorEastAsia" w:cstheme="minorEastAsia"/>
          <w:color w:val="auto"/>
          <w:kern w:val="2"/>
          <w:sz w:val="24"/>
          <w:szCs w:val="24"/>
          <w:highlight w:val="none"/>
        </w:rPr>
        <w:t>（2）</w:t>
      </w:r>
      <w:r>
        <w:rPr>
          <w:rFonts w:hint="eastAsia" w:asciiTheme="minorEastAsia" w:hAnsiTheme="minorEastAsia" w:eastAsiaTheme="minorEastAsia" w:cstheme="minorEastAsia"/>
          <w:color w:val="auto"/>
          <w:kern w:val="2"/>
          <w:sz w:val="24"/>
          <w:szCs w:val="24"/>
          <w:highlight w:val="none"/>
          <w:lang w:bidi="ar"/>
        </w:rPr>
        <w:t>公用经费控制率。202</w:t>
      </w:r>
      <w:r>
        <w:rPr>
          <w:rFonts w:hint="eastAsia" w:asciiTheme="minorEastAsia" w:hAnsiTheme="minorEastAsia" w:eastAsiaTheme="minorEastAsia" w:cstheme="minorEastAsia"/>
          <w:color w:val="auto"/>
          <w:kern w:val="2"/>
          <w:sz w:val="24"/>
          <w:szCs w:val="24"/>
          <w:highlight w:val="none"/>
          <w:lang w:val="en-US" w:eastAsia="zh-CN" w:bidi="ar"/>
        </w:rPr>
        <w:t>1</w:t>
      </w:r>
      <w:r>
        <w:rPr>
          <w:rFonts w:hint="eastAsia" w:asciiTheme="minorEastAsia" w:hAnsiTheme="minorEastAsia" w:eastAsiaTheme="minorEastAsia" w:cstheme="minorEastAsia"/>
          <w:color w:val="auto"/>
          <w:kern w:val="2"/>
          <w:sz w:val="24"/>
          <w:szCs w:val="24"/>
          <w:highlight w:val="none"/>
          <w:lang w:bidi="ar"/>
        </w:rPr>
        <w:t>年公用经费预算</w:t>
      </w:r>
      <w:r>
        <w:rPr>
          <w:rFonts w:hint="eastAsia" w:asciiTheme="minorEastAsia" w:hAnsiTheme="minorEastAsia" w:eastAsiaTheme="minorEastAsia" w:cstheme="minorEastAsia"/>
          <w:color w:val="auto"/>
          <w:kern w:val="2"/>
          <w:sz w:val="24"/>
          <w:szCs w:val="24"/>
          <w:highlight w:val="none"/>
          <w:lang w:val="en-US" w:eastAsia="zh-CN" w:bidi="ar"/>
        </w:rPr>
        <w:t>364.35</w:t>
      </w:r>
      <w:r>
        <w:rPr>
          <w:rFonts w:hint="eastAsia" w:asciiTheme="minorEastAsia" w:hAnsiTheme="minorEastAsia" w:eastAsiaTheme="minorEastAsia" w:cstheme="minorEastAsia"/>
          <w:color w:val="auto"/>
          <w:kern w:val="2"/>
          <w:sz w:val="24"/>
          <w:szCs w:val="24"/>
          <w:highlight w:val="none"/>
          <w:lang w:bidi="ar"/>
        </w:rPr>
        <w:t>万元，实际执行</w:t>
      </w:r>
      <w:r>
        <w:rPr>
          <w:rFonts w:hint="eastAsia" w:asciiTheme="minorEastAsia" w:hAnsiTheme="minorEastAsia" w:eastAsiaTheme="minorEastAsia" w:cstheme="minorEastAsia"/>
          <w:color w:val="auto"/>
          <w:kern w:val="2"/>
          <w:sz w:val="24"/>
          <w:szCs w:val="24"/>
          <w:highlight w:val="none"/>
          <w:lang w:val="en-US" w:eastAsia="zh-CN" w:bidi="ar"/>
        </w:rPr>
        <w:t>364.35</w:t>
      </w:r>
      <w:r>
        <w:rPr>
          <w:rFonts w:hint="eastAsia" w:asciiTheme="minorEastAsia" w:hAnsiTheme="minorEastAsia" w:eastAsiaTheme="minorEastAsia" w:cstheme="minorEastAsia"/>
          <w:color w:val="auto"/>
          <w:kern w:val="2"/>
          <w:sz w:val="24"/>
          <w:szCs w:val="24"/>
          <w:highlight w:val="none"/>
          <w:lang w:bidi="ar"/>
        </w:rPr>
        <w:t>万元。公用经费控制率100%。</w:t>
      </w:r>
    </w:p>
    <w:p>
      <w:pPr>
        <w:pStyle w:val="7"/>
        <w:widowControl/>
        <w:numPr>
          <w:ilvl w:val="0"/>
          <w:numId w:val="0"/>
        </w:numPr>
        <w:shd w:val="clear" w:color="auto" w:fill="FFFFFF"/>
        <w:spacing w:beforeAutospacing="0" w:afterAutospacing="0" w:line="360" w:lineRule="auto"/>
        <w:jc w:val="both"/>
        <w:rPr>
          <w:rFonts w:hint="eastAsia" w:asciiTheme="minorEastAsia" w:hAnsiTheme="minorEastAsia" w:eastAsiaTheme="minorEastAsia" w:cstheme="minorEastAsia"/>
          <w:color w:val="auto"/>
          <w:kern w:val="2"/>
          <w:sz w:val="24"/>
          <w:szCs w:val="24"/>
          <w:highlight w:val="none"/>
          <w:lang w:bidi="ar"/>
        </w:rPr>
      </w:pPr>
      <w:r>
        <w:rPr>
          <w:rFonts w:hint="eastAsia" w:asciiTheme="minorEastAsia" w:hAnsiTheme="minorEastAsia" w:eastAsiaTheme="minorEastAsia" w:cstheme="minorEastAsia"/>
          <w:color w:val="auto"/>
          <w:kern w:val="2"/>
          <w:sz w:val="24"/>
          <w:szCs w:val="24"/>
          <w:highlight w:val="none"/>
          <w:lang w:bidi="ar"/>
        </w:rPr>
        <w:t>（3）三公经费控制率。202</w:t>
      </w:r>
      <w:r>
        <w:rPr>
          <w:rFonts w:hint="eastAsia" w:asciiTheme="minorEastAsia" w:hAnsiTheme="minorEastAsia" w:eastAsiaTheme="minorEastAsia" w:cstheme="minorEastAsia"/>
          <w:color w:val="auto"/>
          <w:kern w:val="2"/>
          <w:sz w:val="24"/>
          <w:szCs w:val="24"/>
          <w:highlight w:val="none"/>
          <w:lang w:val="en-US" w:eastAsia="zh-CN" w:bidi="ar"/>
        </w:rPr>
        <w:t>1</w:t>
      </w:r>
      <w:r>
        <w:rPr>
          <w:rFonts w:hint="eastAsia" w:asciiTheme="minorEastAsia" w:hAnsiTheme="minorEastAsia" w:eastAsiaTheme="minorEastAsia" w:cstheme="minorEastAsia"/>
          <w:color w:val="auto"/>
          <w:kern w:val="2"/>
          <w:sz w:val="24"/>
          <w:szCs w:val="24"/>
          <w:highlight w:val="none"/>
          <w:lang w:bidi="ar"/>
        </w:rPr>
        <w:t>年局三公经费预算</w:t>
      </w:r>
      <w:r>
        <w:rPr>
          <w:rFonts w:hint="eastAsia" w:asciiTheme="minorEastAsia" w:hAnsiTheme="minorEastAsia" w:eastAsiaTheme="minorEastAsia" w:cstheme="minorEastAsia"/>
          <w:color w:val="auto"/>
          <w:kern w:val="2"/>
          <w:sz w:val="24"/>
          <w:szCs w:val="24"/>
          <w:highlight w:val="none"/>
          <w:lang w:val="en-US" w:eastAsia="zh-CN" w:bidi="ar"/>
        </w:rPr>
        <w:t>73.30</w:t>
      </w:r>
      <w:r>
        <w:rPr>
          <w:rFonts w:hint="eastAsia" w:asciiTheme="minorEastAsia" w:hAnsiTheme="minorEastAsia" w:eastAsiaTheme="minorEastAsia" w:cstheme="minorEastAsia"/>
          <w:color w:val="auto"/>
          <w:kern w:val="2"/>
          <w:sz w:val="24"/>
          <w:szCs w:val="24"/>
          <w:highlight w:val="none"/>
          <w:lang w:bidi="ar"/>
        </w:rPr>
        <w:t>万元，本年三公经费实际</w:t>
      </w:r>
      <w:r>
        <w:rPr>
          <w:rFonts w:hint="eastAsia" w:asciiTheme="minorEastAsia" w:hAnsiTheme="minorEastAsia" w:eastAsiaTheme="minorEastAsia" w:cstheme="minorEastAsia"/>
          <w:color w:val="auto"/>
          <w:kern w:val="2"/>
          <w:sz w:val="24"/>
          <w:szCs w:val="24"/>
          <w:highlight w:val="none"/>
          <w:lang w:val="en-US" w:eastAsia="zh-CN" w:bidi="ar"/>
        </w:rPr>
        <w:t>支出27.74</w:t>
      </w:r>
      <w:r>
        <w:rPr>
          <w:rFonts w:hint="eastAsia" w:asciiTheme="minorEastAsia" w:hAnsiTheme="minorEastAsia" w:eastAsiaTheme="minorEastAsia" w:cstheme="minorEastAsia"/>
          <w:color w:val="auto"/>
          <w:kern w:val="2"/>
          <w:sz w:val="24"/>
          <w:szCs w:val="24"/>
          <w:highlight w:val="none"/>
          <w:lang w:bidi="ar"/>
        </w:rPr>
        <w:t>万元，其中公务接待开支</w:t>
      </w:r>
      <w:r>
        <w:rPr>
          <w:rFonts w:hint="eastAsia" w:asciiTheme="minorEastAsia" w:hAnsiTheme="minorEastAsia" w:eastAsiaTheme="minorEastAsia" w:cstheme="minorEastAsia"/>
          <w:color w:val="auto"/>
          <w:kern w:val="2"/>
          <w:sz w:val="24"/>
          <w:szCs w:val="24"/>
          <w:highlight w:val="none"/>
          <w:lang w:val="en-US" w:eastAsia="zh-CN" w:bidi="ar"/>
        </w:rPr>
        <w:t>2.91</w:t>
      </w:r>
      <w:r>
        <w:rPr>
          <w:rFonts w:hint="eastAsia" w:asciiTheme="minorEastAsia" w:hAnsiTheme="minorEastAsia" w:eastAsiaTheme="minorEastAsia" w:cstheme="minorEastAsia"/>
          <w:color w:val="auto"/>
          <w:kern w:val="2"/>
          <w:sz w:val="24"/>
          <w:szCs w:val="24"/>
          <w:highlight w:val="none"/>
          <w:lang w:bidi="ar"/>
        </w:rPr>
        <w:t>万元、因公出国出境费0元，公务用车维护费</w:t>
      </w:r>
      <w:r>
        <w:rPr>
          <w:rFonts w:hint="eastAsia" w:asciiTheme="minorEastAsia" w:hAnsiTheme="minorEastAsia" w:eastAsiaTheme="minorEastAsia" w:cstheme="minorEastAsia"/>
          <w:color w:val="auto"/>
          <w:kern w:val="2"/>
          <w:sz w:val="24"/>
          <w:szCs w:val="24"/>
          <w:highlight w:val="none"/>
          <w:lang w:val="en-US" w:eastAsia="zh-CN" w:bidi="ar"/>
        </w:rPr>
        <w:t>24.83</w:t>
      </w:r>
      <w:r>
        <w:rPr>
          <w:rFonts w:hint="eastAsia" w:asciiTheme="minorEastAsia" w:hAnsiTheme="minorEastAsia" w:eastAsiaTheme="minorEastAsia" w:cstheme="minorEastAsia"/>
          <w:color w:val="auto"/>
          <w:kern w:val="2"/>
          <w:sz w:val="24"/>
          <w:szCs w:val="24"/>
          <w:highlight w:val="none"/>
          <w:lang w:bidi="ar"/>
        </w:rPr>
        <w:t>万元。三公经费控制率为</w:t>
      </w:r>
      <w:r>
        <w:rPr>
          <w:rFonts w:hint="eastAsia" w:asciiTheme="minorEastAsia" w:hAnsiTheme="minorEastAsia" w:eastAsiaTheme="minorEastAsia" w:cstheme="minorEastAsia"/>
          <w:color w:val="auto"/>
          <w:kern w:val="2"/>
          <w:sz w:val="24"/>
          <w:szCs w:val="24"/>
          <w:highlight w:val="none"/>
          <w:lang w:val="en-US" w:eastAsia="zh-CN" w:bidi="ar"/>
        </w:rPr>
        <w:t>37.84</w:t>
      </w:r>
      <w:r>
        <w:rPr>
          <w:rFonts w:hint="eastAsia" w:asciiTheme="minorEastAsia" w:hAnsiTheme="minorEastAsia" w:eastAsiaTheme="minorEastAsia" w:cstheme="minorEastAsia"/>
          <w:color w:val="auto"/>
          <w:kern w:val="2"/>
          <w:sz w:val="24"/>
          <w:szCs w:val="24"/>
          <w:highlight w:val="none"/>
          <w:lang w:bidi="ar"/>
        </w:rPr>
        <w:t>%。</w:t>
      </w:r>
    </w:p>
    <w:p>
      <w:pPr>
        <w:pStyle w:val="7"/>
        <w:widowControl/>
        <w:numPr>
          <w:ilvl w:val="0"/>
          <w:numId w:val="0"/>
        </w:numPr>
        <w:shd w:val="clear" w:color="auto" w:fill="FFFFFF"/>
        <w:spacing w:beforeAutospacing="0" w:afterAutospacing="0" w:line="360" w:lineRule="auto"/>
        <w:jc w:val="both"/>
        <w:rPr>
          <w:rFonts w:hint="eastAsia" w:asciiTheme="minorEastAsia" w:hAnsiTheme="minorEastAsia" w:eastAsiaTheme="minorEastAsia" w:cstheme="minorEastAsia"/>
          <w:color w:val="auto"/>
          <w:kern w:val="2"/>
          <w:sz w:val="24"/>
          <w:szCs w:val="24"/>
          <w:highlight w:val="none"/>
          <w:lang w:bidi="ar"/>
        </w:rPr>
      </w:pPr>
      <w:r>
        <w:rPr>
          <w:rFonts w:hint="eastAsia" w:asciiTheme="minorEastAsia" w:hAnsiTheme="minorEastAsia" w:eastAsiaTheme="minorEastAsia" w:cstheme="minorEastAsia"/>
          <w:color w:val="auto"/>
          <w:kern w:val="2"/>
          <w:sz w:val="24"/>
          <w:szCs w:val="24"/>
          <w:highlight w:val="none"/>
          <w:lang w:bidi="ar"/>
        </w:rPr>
        <w:t>（4）政府采购执行率。202</w:t>
      </w:r>
      <w:r>
        <w:rPr>
          <w:rFonts w:hint="eastAsia" w:asciiTheme="minorEastAsia" w:hAnsiTheme="minorEastAsia" w:eastAsiaTheme="minorEastAsia" w:cstheme="minorEastAsia"/>
          <w:color w:val="auto"/>
          <w:kern w:val="2"/>
          <w:sz w:val="24"/>
          <w:szCs w:val="24"/>
          <w:highlight w:val="none"/>
          <w:lang w:val="en-US" w:eastAsia="zh-CN" w:bidi="ar"/>
        </w:rPr>
        <w:t>2</w:t>
      </w:r>
      <w:r>
        <w:rPr>
          <w:rFonts w:hint="eastAsia" w:asciiTheme="minorEastAsia" w:hAnsiTheme="minorEastAsia" w:eastAsiaTheme="minorEastAsia" w:cstheme="minorEastAsia"/>
          <w:color w:val="auto"/>
          <w:kern w:val="2"/>
          <w:sz w:val="24"/>
          <w:szCs w:val="24"/>
          <w:highlight w:val="none"/>
          <w:lang w:bidi="ar"/>
        </w:rPr>
        <w:t>年政府采购预算</w:t>
      </w:r>
      <w:r>
        <w:rPr>
          <w:rFonts w:hint="eastAsia" w:asciiTheme="minorEastAsia" w:hAnsiTheme="minorEastAsia" w:eastAsiaTheme="minorEastAsia" w:cstheme="minorEastAsia"/>
          <w:color w:val="auto"/>
          <w:kern w:val="2"/>
          <w:sz w:val="24"/>
          <w:szCs w:val="24"/>
          <w:highlight w:val="none"/>
          <w:lang w:val="en-US" w:eastAsia="zh-CN" w:bidi="ar"/>
        </w:rPr>
        <w:t>169.23</w:t>
      </w:r>
      <w:r>
        <w:rPr>
          <w:rFonts w:hint="eastAsia" w:asciiTheme="minorEastAsia" w:hAnsiTheme="minorEastAsia" w:eastAsiaTheme="minorEastAsia" w:cstheme="minorEastAsia"/>
          <w:color w:val="auto"/>
          <w:kern w:val="2"/>
          <w:sz w:val="24"/>
          <w:szCs w:val="24"/>
          <w:highlight w:val="none"/>
          <w:lang w:bidi="ar"/>
        </w:rPr>
        <w:t>万元，实际执行</w:t>
      </w:r>
      <w:r>
        <w:rPr>
          <w:rFonts w:hint="eastAsia" w:asciiTheme="minorEastAsia" w:hAnsiTheme="minorEastAsia" w:eastAsiaTheme="minorEastAsia" w:cstheme="minorEastAsia"/>
          <w:color w:val="auto"/>
          <w:kern w:val="2"/>
          <w:sz w:val="24"/>
          <w:szCs w:val="24"/>
          <w:highlight w:val="none"/>
          <w:lang w:val="en-US" w:eastAsia="zh-CN" w:bidi="ar"/>
        </w:rPr>
        <w:t>67.53</w:t>
      </w:r>
      <w:r>
        <w:rPr>
          <w:rFonts w:hint="eastAsia" w:asciiTheme="minorEastAsia" w:hAnsiTheme="minorEastAsia" w:eastAsiaTheme="minorEastAsia" w:cstheme="minorEastAsia"/>
          <w:color w:val="auto"/>
          <w:kern w:val="2"/>
          <w:sz w:val="24"/>
          <w:szCs w:val="24"/>
          <w:highlight w:val="none"/>
          <w:lang w:bidi="ar"/>
        </w:rPr>
        <w:t>万元</w:t>
      </w:r>
      <w:r>
        <w:rPr>
          <w:rFonts w:hint="eastAsia" w:asciiTheme="minorEastAsia" w:hAnsiTheme="minorEastAsia" w:eastAsiaTheme="minorEastAsia" w:cstheme="minorEastAsia"/>
          <w:color w:val="auto"/>
          <w:kern w:val="2"/>
          <w:sz w:val="24"/>
          <w:szCs w:val="24"/>
          <w:highlight w:val="none"/>
          <w:lang w:eastAsia="zh-CN" w:bidi="ar"/>
        </w:rPr>
        <w:t>，</w:t>
      </w:r>
      <w:r>
        <w:rPr>
          <w:rFonts w:hint="eastAsia" w:asciiTheme="minorEastAsia" w:hAnsiTheme="minorEastAsia" w:eastAsiaTheme="minorEastAsia" w:cstheme="minorEastAsia"/>
          <w:color w:val="auto"/>
          <w:kern w:val="2"/>
          <w:sz w:val="24"/>
          <w:szCs w:val="24"/>
          <w:highlight w:val="none"/>
          <w:lang w:bidi="ar"/>
        </w:rPr>
        <w:t>政府采购执行率</w:t>
      </w:r>
      <w:r>
        <w:rPr>
          <w:rFonts w:hint="eastAsia" w:asciiTheme="minorEastAsia" w:hAnsiTheme="minorEastAsia" w:eastAsiaTheme="minorEastAsia" w:cstheme="minorEastAsia"/>
          <w:color w:val="auto"/>
          <w:kern w:val="2"/>
          <w:sz w:val="24"/>
          <w:szCs w:val="24"/>
          <w:highlight w:val="none"/>
          <w:lang w:val="en-US" w:eastAsia="zh-CN" w:bidi="ar"/>
        </w:rPr>
        <w:t>39.90%</w:t>
      </w:r>
      <w:r>
        <w:rPr>
          <w:rFonts w:hint="eastAsia" w:asciiTheme="minorEastAsia" w:hAnsiTheme="minorEastAsia" w:eastAsiaTheme="minorEastAsia" w:cstheme="minorEastAsia"/>
          <w:color w:val="auto"/>
          <w:kern w:val="2"/>
          <w:sz w:val="24"/>
          <w:szCs w:val="24"/>
          <w:highlight w:val="none"/>
          <w:lang w:bidi="ar"/>
        </w:rPr>
        <w:t>。</w:t>
      </w:r>
    </w:p>
    <w:p>
      <w:pPr>
        <w:pStyle w:val="7"/>
        <w:widowControl/>
        <w:numPr>
          <w:ilvl w:val="0"/>
          <w:numId w:val="0"/>
        </w:numPr>
        <w:shd w:val="clear" w:color="auto" w:fill="FFFFFF"/>
        <w:spacing w:beforeAutospacing="0" w:afterAutospacing="0" w:line="360" w:lineRule="auto"/>
        <w:jc w:val="both"/>
        <w:rPr>
          <w:rFonts w:hint="eastAsia" w:asciiTheme="minorEastAsia" w:hAnsiTheme="minorEastAsia" w:eastAsiaTheme="minorEastAsia" w:cstheme="minorEastAsia"/>
          <w:color w:val="auto"/>
          <w:kern w:val="2"/>
          <w:sz w:val="24"/>
          <w:szCs w:val="24"/>
          <w:highlight w:val="none"/>
          <w:lang w:bidi="ar"/>
        </w:rPr>
      </w:pPr>
      <w:r>
        <w:rPr>
          <w:rFonts w:hint="eastAsia" w:asciiTheme="minorEastAsia" w:hAnsiTheme="minorEastAsia" w:eastAsiaTheme="minorEastAsia" w:cstheme="minorEastAsia"/>
          <w:color w:val="auto"/>
          <w:kern w:val="2"/>
          <w:sz w:val="24"/>
          <w:szCs w:val="24"/>
          <w:highlight w:val="none"/>
        </w:rPr>
        <w:t>（</w:t>
      </w:r>
      <w:r>
        <w:rPr>
          <w:rFonts w:hint="default" w:asciiTheme="minorEastAsia" w:hAnsiTheme="minorEastAsia" w:eastAsiaTheme="minorEastAsia" w:cstheme="minorEastAsia"/>
          <w:color w:val="auto"/>
          <w:kern w:val="2"/>
          <w:sz w:val="24"/>
          <w:szCs w:val="24"/>
          <w:highlight w:val="none"/>
          <w:lang w:val="en-US"/>
        </w:rPr>
        <w:t>5</w:t>
      </w:r>
      <w:r>
        <w:rPr>
          <w:rFonts w:hint="eastAsia" w:asciiTheme="minorEastAsia" w:hAnsiTheme="minorEastAsia" w:eastAsiaTheme="minorEastAsia" w:cstheme="minorEastAsia"/>
          <w:color w:val="auto"/>
          <w:kern w:val="2"/>
          <w:sz w:val="24"/>
          <w:szCs w:val="24"/>
          <w:highlight w:val="none"/>
        </w:rPr>
        <w:t>）</w:t>
      </w:r>
      <w:r>
        <w:rPr>
          <w:rFonts w:hint="eastAsia" w:asciiTheme="minorEastAsia" w:hAnsiTheme="minorEastAsia" w:eastAsiaTheme="minorEastAsia" w:cstheme="minorEastAsia"/>
          <w:color w:val="auto"/>
          <w:kern w:val="2"/>
          <w:sz w:val="24"/>
          <w:szCs w:val="24"/>
          <w:highlight w:val="none"/>
          <w:lang w:bidi="ar"/>
        </w:rPr>
        <w:t>固定资产利用率。本局加强资产管理，充分利用现有固定资产，固定资产利用率为100%。</w:t>
      </w:r>
    </w:p>
    <w:p>
      <w:pPr>
        <w:spacing w:line="600" w:lineRule="exac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2</w:t>
      </w:r>
      <w:r>
        <w:rPr>
          <w:rFonts w:hint="eastAsia" w:asciiTheme="minorEastAsia" w:hAnsiTheme="minorEastAsia" w:eastAsiaTheme="minorEastAsia" w:cstheme="minorEastAsia"/>
          <w:b/>
          <w:bCs/>
          <w:color w:val="auto"/>
          <w:sz w:val="24"/>
          <w:szCs w:val="24"/>
          <w:highlight w:val="none"/>
          <w:lang w:val="en-US" w:eastAsia="zh-CN"/>
        </w:rPr>
        <w:t>.</w:t>
      </w:r>
      <w:r>
        <w:rPr>
          <w:rFonts w:hint="eastAsia" w:asciiTheme="minorEastAsia" w:hAnsiTheme="minorEastAsia" w:eastAsiaTheme="minorEastAsia" w:cstheme="minorEastAsia"/>
          <w:b/>
          <w:bCs/>
          <w:color w:val="auto"/>
          <w:sz w:val="24"/>
          <w:szCs w:val="24"/>
          <w:highlight w:val="none"/>
        </w:rPr>
        <w:t>效益指标</w:t>
      </w:r>
    </w:p>
    <w:p>
      <w:pPr>
        <w:spacing w:line="600" w:lineRule="exac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2.1经济效益</w:t>
      </w:r>
    </w:p>
    <w:p>
      <w:pPr>
        <w:pStyle w:val="7"/>
        <w:widowControl/>
        <w:shd w:val="clear" w:color="auto" w:fill="FFFFFF"/>
        <w:spacing w:beforeAutospacing="0" w:afterAutospacing="0" w:line="360" w:lineRule="auto"/>
        <w:ind w:firstLine="480" w:firstLineChars="200"/>
        <w:jc w:val="both"/>
        <w:rPr>
          <w:rFonts w:hint="eastAsia" w:asciiTheme="minorEastAsia" w:hAnsiTheme="minorEastAsia" w:eastAsiaTheme="minorEastAsia" w:cstheme="minorEastAsia"/>
          <w:color w:val="auto"/>
          <w:kern w:val="2"/>
          <w:sz w:val="24"/>
          <w:szCs w:val="24"/>
          <w:highlight w:val="none"/>
          <w:lang w:bidi="ar"/>
        </w:rPr>
      </w:pPr>
      <w:r>
        <w:rPr>
          <w:rFonts w:hint="eastAsia" w:asciiTheme="minorEastAsia" w:hAnsiTheme="minorEastAsia" w:eastAsiaTheme="minorEastAsia" w:cstheme="minorEastAsia"/>
          <w:color w:val="auto"/>
          <w:sz w:val="24"/>
          <w:szCs w:val="24"/>
          <w:highlight w:val="none"/>
        </w:rPr>
        <w:t>2022年全州工业经济呈现高开低走、承压前行的运行态势。规模工业增加值同比增长0.1%</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kern w:val="2"/>
          <w:sz w:val="24"/>
          <w:szCs w:val="24"/>
          <w:highlight w:val="none"/>
          <w:lang w:bidi="ar"/>
        </w:rPr>
        <w:t xml:space="preserve">主要关联指标中，工业投资、工业税收、工业贷款分别增长10.1%、10.8%、7.6%，运行基本稳定。以“链长制”为总揽，大力推进10条优势产业链建设，有力支撑我州经济大盘稳定和经济高质量发展。产业链龙头企业带动有力、串珠成链，酒鬼酒公司完成工业生产总值50.85亿元，同比增长37.5%，上缴税收14.15亿元，同比增长21.4%，强劲牵引了上下游产业链供应链的集群、配套。 </w:t>
      </w:r>
    </w:p>
    <w:p>
      <w:pPr>
        <w:pStyle w:val="7"/>
        <w:widowControl/>
        <w:shd w:val="clear" w:color="auto" w:fill="FFFFFF"/>
        <w:spacing w:beforeAutospacing="0" w:afterAutospacing="0" w:line="360" w:lineRule="auto"/>
        <w:jc w:val="both"/>
        <w:rPr>
          <w:rFonts w:hint="eastAsia" w:asciiTheme="minorEastAsia" w:hAnsiTheme="minorEastAsia" w:eastAsiaTheme="minorEastAsia" w:cstheme="minorEastAsia"/>
          <w:b/>
          <w:bCs/>
          <w:color w:val="auto"/>
          <w:kern w:val="2"/>
          <w:sz w:val="24"/>
          <w:szCs w:val="24"/>
          <w:highlight w:val="none"/>
          <w:lang w:bidi="ar"/>
        </w:rPr>
      </w:pPr>
      <w:r>
        <w:rPr>
          <w:rFonts w:hint="eastAsia" w:asciiTheme="minorEastAsia" w:hAnsiTheme="minorEastAsia" w:eastAsiaTheme="minorEastAsia" w:cstheme="minorEastAsia"/>
          <w:b/>
          <w:bCs/>
          <w:color w:val="auto"/>
          <w:kern w:val="2"/>
          <w:sz w:val="24"/>
          <w:szCs w:val="24"/>
          <w:highlight w:val="none"/>
          <w:lang w:bidi="ar"/>
        </w:rPr>
        <w:t>2.2社会效益分析</w:t>
      </w:r>
    </w:p>
    <w:p>
      <w:pPr>
        <w:spacing w:line="58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202</w:t>
      </w:r>
      <w:r>
        <w:rPr>
          <w:rFonts w:hint="eastAsia" w:asciiTheme="minorEastAsia" w:hAnsiTheme="minorEastAsia" w:eastAsiaTheme="minorEastAsia" w:cstheme="minorEastAsia"/>
          <w:color w:val="auto"/>
          <w:kern w:val="0"/>
          <w:sz w:val="24"/>
          <w:szCs w:val="24"/>
          <w:highlight w:val="none"/>
          <w:lang w:val="en-US" w:eastAsia="zh-CN" w:bidi="ar"/>
        </w:rPr>
        <w:t>1</w:t>
      </w:r>
      <w:r>
        <w:rPr>
          <w:rFonts w:hint="eastAsia" w:asciiTheme="minorEastAsia" w:hAnsiTheme="minorEastAsia" w:eastAsiaTheme="minorEastAsia" w:cstheme="minorEastAsia"/>
          <w:color w:val="auto"/>
          <w:kern w:val="0"/>
          <w:sz w:val="24"/>
          <w:szCs w:val="24"/>
          <w:highlight w:val="none"/>
          <w:lang w:bidi="ar"/>
        </w:rPr>
        <w:t>年，在州委、州政府的坚强领导下，</w:t>
      </w:r>
      <w:r>
        <w:rPr>
          <w:rFonts w:hint="eastAsia" w:asciiTheme="minorEastAsia" w:hAnsiTheme="minorEastAsia" w:eastAsiaTheme="minorEastAsia" w:cstheme="minorEastAsia"/>
          <w:color w:val="auto"/>
          <w:sz w:val="24"/>
          <w:szCs w:val="24"/>
          <w:highlight w:val="none"/>
        </w:rPr>
        <w:t>全州工信</w:t>
      </w:r>
      <w:r>
        <w:rPr>
          <w:rFonts w:hint="eastAsia" w:asciiTheme="minorEastAsia" w:hAnsiTheme="minorEastAsia" w:eastAsiaTheme="minorEastAsia" w:cstheme="minorEastAsia"/>
          <w:color w:val="auto"/>
          <w:sz w:val="24"/>
          <w:szCs w:val="24"/>
          <w:highlight w:val="none"/>
          <w:lang w:val="en-US" w:eastAsia="zh-CN"/>
        </w:rPr>
        <w:t>部门</w:t>
      </w:r>
      <w:r>
        <w:rPr>
          <w:rFonts w:hint="eastAsia" w:asciiTheme="minorEastAsia" w:hAnsiTheme="minorEastAsia" w:eastAsiaTheme="minorEastAsia" w:cstheme="minorEastAsia"/>
          <w:color w:val="auto"/>
          <w:sz w:val="24"/>
          <w:szCs w:val="24"/>
          <w:highlight w:val="none"/>
        </w:rPr>
        <w:t>积极应对错综复杂的外部环境、多点散发的疫情冲击和持续下行的经济增长压力、矿业整治整合等超预期因素叠加影响，深入贯彻落实“三高四新”战略定位和使命任务，聚焦打造“三区两地”、建设“五个湘西”，大力实施制造强州战略，突出稳增长、保主体、强链群、优服务，全州工业经济实现平稳增长，信息化建设逐步完善，高质量发展迈出坚实步伐。</w:t>
      </w:r>
    </w:p>
    <w:p>
      <w:pPr>
        <w:pStyle w:val="7"/>
        <w:widowControl/>
        <w:shd w:val="clear" w:color="auto" w:fill="FFFFFF"/>
        <w:spacing w:before="183" w:beforeLines="50" w:beforeAutospacing="0" w:afterAutospacing="0" w:line="360" w:lineRule="auto"/>
        <w:jc w:val="both"/>
        <w:rPr>
          <w:rFonts w:hint="eastAsia" w:asciiTheme="minorEastAsia" w:hAnsiTheme="minorEastAsia" w:eastAsiaTheme="minorEastAsia" w:cstheme="minorEastAsia"/>
          <w:b/>
          <w:bCs/>
          <w:color w:val="auto"/>
          <w:kern w:val="2"/>
          <w:sz w:val="24"/>
          <w:szCs w:val="24"/>
          <w:highlight w:val="none"/>
          <w:lang w:bidi="ar"/>
        </w:rPr>
      </w:pPr>
      <w:r>
        <w:rPr>
          <w:rFonts w:hint="eastAsia" w:asciiTheme="minorEastAsia" w:hAnsiTheme="minorEastAsia" w:eastAsiaTheme="minorEastAsia" w:cstheme="minorEastAsia"/>
          <w:b/>
          <w:bCs/>
          <w:color w:val="auto"/>
          <w:kern w:val="2"/>
          <w:sz w:val="24"/>
          <w:szCs w:val="24"/>
          <w:highlight w:val="none"/>
          <w:lang w:bidi="ar"/>
        </w:rPr>
        <w:t>2.3</w:t>
      </w:r>
      <w:r>
        <w:rPr>
          <w:rFonts w:hint="eastAsia" w:asciiTheme="minorEastAsia" w:hAnsiTheme="minorEastAsia" w:eastAsiaTheme="minorEastAsia" w:cstheme="minorEastAsia"/>
          <w:b/>
          <w:bCs/>
          <w:color w:val="auto"/>
          <w:kern w:val="2"/>
          <w:sz w:val="24"/>
          <w:szCs w:val="24"/>
          <w:highlight w:val="none"/>
          <w:lang w:val="en-US" w:eastAsia="zh-CN" w:bidi="ar"/>
        </w:rPr>
        <w:t xml:space="preserve"> </w:t>
      </w:r>
      <w:r>
        <w:rPr>
          <w:rFonts w:hint="eastAsia" w:asciiTheme="minorEastAsia" w:hAnsiTheme="minorEastAsia" w:eastAsiaTheme="minorEastAsia" w:cstheme="minorEastAsia"/>
          <w:b/>
          <w:bCs/>
          <w:color w:val="auto"/>
          <w:kern w:val="2"/>
          <w:sz w:val="24"/>
          <w:szCs w:val="24"/>
          <w:highlight w:val="none"/>
          <w:lang w:bidi="ar"/>
        </w:rPr>
        <w:t>生态效益和可持续性分析</w:t>
      </w:r>
    </w:p>
    <w:p>
      <w:pPr>
        <w:spacing w:line="580" w:lineRule="exact"/>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2022年，我州指导矿业整治整合取得决定性成效，“废弃厂房”整治任务全面完成。大力推进绿色制造试点示范工程，培育新增州级“绿色工厂”10家、省级绿色工厂2家、省级绿色园区1个。积极推进工业企业清洁生产、节能降耗，全州每万元规模工业增加值能耗0.48吨标准煤，同比下降17.78%。</w:t>
      </w:r>
    </w:p>
    <w:p>
      <w:pPr>
        <w:pStyle w:val="7"/>
        <w:widowControl/>
        <w:shd w:val="clear" w:color="auto" w:fill="FFFFFF"/>
        <w:spacing w:before="183" w:beforeLines="50" w:beforeAutospacing="0" w:afterAutospacing="0" w:line="360" w:lineRule="auto"/>
        <w:jc w:val="both"/>
        <w:rPr>
          <w:rFonts w:hint="eastAsia" w:asciiTheme="minorEastAsia" w:hAnsiTheme="minorEastAsia" w:eastAsiaTheme="minorEastAsia" w:cstheme="minorEastAsia"/>
          <w:b/>
          <w:bCs/>
          <w:color w:val="auto"/>
          <w:kern w:val="2"/>
          <w:sz w:val="24"/>
          <w:szCs w:val="24"/>
          <w:highlight w:val="none"/>
          <w:lang w:bidi="ar"/>
        </w:rPr>
      </w:pPr>
      <w:r>
        <w:rPr>
          <w:rFonts w:hint="eastAsia" w:asciiTheme="minorEastAsia" w:hAnsiTheme="minorEastAsia" w:eastAsiaTheme="minorEastAsia" w:cstheme="minorEastAsia"/>
          <w:b/>
          <w:bCs/>
          <w:color w:val="auto"/>
          <w:kern w:val="2"/>
          <w:sz w:val="24"/>
          <w:szCs w:val="24"/>
          <w:highlight w:val="none"/>
          <w:lang w:bidi="ar"/>
        </w:rPr>
        <w:t>3</w:t>
      </w:r>
      <w:r>
        <w:rPr>
          <w:rFonts w:hint="eastAsia" w:asciiTheme="minorEastAsia" w:hAnsiTheme="minorEastAsia" w:eastAsiaTheme="minorEastAsia" w:cstheme="minorEastAsia"/>
          <w:b/>
          <w:bCs/>
          <w:color w:val="auto"/>
          <w:kern w:val="2"/>
          <w:sz w:val="24"/>
          <w:szCs w:val="24"/>
          <w:highlight w:val="none"/>
          <w:lang w:eastAsia="zh-CN" w:bidi="ar"/>
        </w:rPr>
        <w:t>.</w:t>
      </w:r>
      <w:r>
        <w:rPr>
          <w:rFonts w:hint="eastAsia" w:asciiTheme="minorEastAsia" w:hAnsiTheme="minorEastAsia" w:eastAsiaTheme="minorEastAsia" w:cstheme="minorEastAsia"/>
          <w:b/>
          <w:bCs/>
          <w:color w:val="auto"/>
          <w:kern w:val="2"/>
          <w:sz w:val="24"/>
          <w:szCs w:val="24"/>
          <w:highlight w:val="none"/>
          <w:lang w:bidi="ar"/>
        </w:rPr>
        <w:t>满意度指标（10分</w:t>
      </w:r>
      <w:r>
        <w:rPr>
          <w:rFonts w:hint="eastAsia" w:asciiTheme="minorEastAsia" w:hAnsiTheme="minorEastAsia" w:eastAsiaTheme="minorEastAsia" w:cstheme="minorEastAsia"/>
          <w:b/>
          <w:bCs/>
          <w:color w:val="auto"/>
          <w:kern w:val="2"/>
          <w:sz w:val="24"/>
          <w:szCs w:val="24"/>
          <w:highlight w:val="none"/>
          <w:lang w:eastAsia="zh-CN" w:bidi="ar"/>
        </w:rPr>
        <w:t>，得</w:t>
      </w:r>
      <w:r>
        <w:rPr>
          <w:rFonts w:hint="eastAsia" w:asciiTheme="minorEastAsia" w:hAnsiTheme="minorEastAsia" w:eastAsiaTheme="minorEastAsia" w:cstheme="minorEastAsia"/>
          <w:b/>
          <w:bCs/>
          <w:color w:val="auto"/>
          <w:kern w:val="2"/>
          <w:sz w:val="24"/>
          <w:szCs w:val="24"/>
          <w:highlight w:val="none"/>
          <w:lang w:val="en-US" w:eastAsia="zh-CN" w:bidi="ar"/>
        </w:rPr>
        <w:t>10</w:t>
      </w:r>
      <w:r>
        <w:rPr>
          <w:rFonts w:hint="eastAsia" w:asciiTheme="minorEastAsia" w:hAnsiTheme="minorEastAsia" w:eastAsiaTheme="minorEastAsia" w:cstheme="minorEastAsia"/>
          <w:b/>
          <w:bCs/>
          <w:color w:val="auto"/>
          <w:kern w:val="2"/>
          <w:sz w:val="24"/>
          <w:szCs w:val="24"/>
          <w:highlight w:val="none"/>
          <w:lang w:eastAsia="zh-CN" w:bidi="ar"/>
        </w:rPr>
        <w:t>分</w:t>
      </w:r>
      <w:r>
        <w:rPr>
          <w:rFonts w:hint="eastAsia" w:asciiTheme="minorEastAsia" w:hAnsiTheme="minorEastAsia" w:eastAsiaTheme="minorEastAsia" w:cstheme="minorEastAsia"/>
          <w:b/>
          <w:bCs/>
          <w:color w:val="auto"/>
          <w:kern w:val="2"/>
          <w:sz w:val="24"/>
          <w:szCs w:val="24"/>
          <w:highlight w:val="none"/>
          <w:lang w:bidi="ar"/>
        </w:rPr>
        <w:t>）</w:t>
      </w:r>
    </w:p>
    <w:p>
      <w:pPr>
        <w:spacing w:line="580" w:lineRule="exact"/>
        <w:ind w:firstLine="480" w:firstLineChars="200"/>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color w:val="auto"/>
          <w:kern w:val="0"/>
          <w:sz w:val="24"/>
          <w:szCs w:val="24"/>
          <w:highlight w:val="none"/>
          <w:lang w:bidi="ar"/>
        </w:rPr>
        <w:t>202</w:t>
      </w:r>
      <w:r>
        <w:rPr>
          <w:rFonts w:hint="eastAsia" w:asciiTheme="minorEastAsia" w:hAnsiTheme="minorEastAsia" w:eastAsiaTheme="minorEastAsia" w:cstheme="minorEastAsia"/>
          <w:color w:val="auto"/>
          <w:kern w:val="0"/>
          <w:sz w:val="24"/>
          <w:szCs w:val="24"/>
          <w:highlight w:val="none"/>
          <w:lang w:val="en-US" w:eastAsia="zh-CN" w:bidi="ar"/>
        </w:rPr>
        <w:t>2</w:t>
      </w:r>
      <w:r>
        <w:rPr>
          <w:rFonts w:hint="eastAsia" w:asciiTheme="minorEastAsia" w:hAnsiTheme="minorEastAsia" w:eastAsiaTheme="minorEastAsia" w:cstheme="minorEastAsia"/>
          <w:color w:val="auto"/>
          <w:kern w:val="0"/>
          <w:sz w:val="24"/>
          <w:szCs w:val="24"/>
          <w:highlight w:val="none"/>
          <w:lang w:bidi="ar"/>
        </w:rPr>
        <w:t>年，</w:t>
      </w:r>
      <w:r>
        <w:rPr>
          <w:rFonts w:hint="eastAsia" w:asciiTheme="minorEastAsia" w:hAnsiTheme="minorEastAsia" w:eastAsiaTheme="minorEastAsia" w:cstheme="minorEastAsia"/>
          <w:color w:val="auto"/>
          <w:sz w:val="24"/>
          <w:szCs w:val="24"/>
          <w:highlight w:val="none"/>
        </w:rPr>
        <w:t>在州委、州政府的坚强领导下</w:t>
      </w:r>
      <w:r>
        <w:rPr>
          <w:rFonts w:hint="eastAsia" w:asciiTheme="minorEastAsia" w:hAnsiTheme="minorEastAsia" w:eastAsiaTheme="minorEastAsia" w:cstheme="minorEastAsia"/>
          <w:color w:val="auto"/>
          <w:kern w:val="0"/>
          <w:sz w:val="24"/>
          <w:szCs w:val="24"/>
          <w:highlight w:val="none"/>
          <w:lang w:bidi="ar"/>
        </w:rPr>
        <w:t>，</w:t>
      </w:r>
      <w:r>
        <w:rPr>
          <w:rFonts w:hint="eastAsia" w:asciiTheme="minorEastAsia" w:hAnsiTheme="minorEastAsia" w:eastAsiaTheme="minorEastAsia" w:cstheme="minorEastAsia"/>
          <w:color w:val="auto"/>
          <w:kern w:val="0"/>
          <w:sz w:val="24"/>
          <w:szCs w:val="24"/>
          <w:highlight w:val="none"/>
          <w:lang w:val="en-US" w:eastAsia="zh-CN" w:bidi="ar"/>
        </w:rPr>
        <w:t>全州工信部门</w:t>
      </w:r>
      <w:r>
        <w:rPr>
          <w:rFonts w:hint="eastAsia" w:asciiTheme="minorEastAsia" w:hAnsiTheme="minorEastAsia" w:eastAsiaTheme="minorEastAsia" w:cstheme="minorEastAsia"/>
          <w:color w:val="auto"/>
          <w:kern w:val="0"/>
          <w:sz w:val="24"/>
          <w:szCs w:val="24"/>
          <w:highlight w:val="none"/>
          <w:lang w:bidi="ar"/>
        </w:rPr>
        <w:t>干部职工切实转变工作作风</w:t>
      </w:r>
      <w:r>
        <w:rPr>
          <w:rFonts w:hint="eastAsia" w:asciiTheme="minorEastAsia" w:hAnsiTheme="minorEastAsia" w:eastAsiaTheme="minorEastAsia" w:cstheme="minorEastAsia"/>
          <w:color w:val="auto"/>
          <w:sz w:val="24"/>
          <w:szCs w:val="24"/>
          <w:highlight w:val="none"/>
        </w:rPr>
        <w:t>，为全面提升服务制造业高质量发展的能力和水平有了坚实的基础，全州工信工作深入贯彻落实“三高四新”战略定位和使命任务，聚焦打造“三区两地”、建设“五个湘西”，大力实施制造强州战略，突出稳增长、保主体、强链群、优服务，全州工业经济实现平稳增长。全局干部职工锐意进取，真抓实干，推动工业经济加快恢复性增长，为广大人民群众奋力交出了一份</w:t>
      </w:r>
      <w:r>
        <w:rPr>
          <w:rFonts w:hint="eastAsia" w:asciiTheme="minorEastAsia" w:hAnsiTheme="minorEastAsia" w:eastAsiaTheme="minorEastAsia" w:cstheme="minorEastAsia"/>
          <w:color w:val="auto"/>
          <w:kern w:val="0"/>
          <w:sz w:val="24"/>
          <w:szCs w:val="24"/>
          <w:highlight w:val="none"/>
          <w:lang w:bidi="ar"/>
        </w:rPr>
        <w:t>社会公众满意的答卷</w:t>
      </w:r>
      <w:r>
        <w:rPr>
          <w:rFonts w:hint="eastAsia" w:asciiTheme="minorEastAsia" w:hAnsiTheme="minorEastAsia" w:eastAsiaTheme="minorEastAsia" w:cstheme="minorEastAsia"/>
          <w:color w:val="auto"/>
          <w:kern w:val="0"/>
          <w:sz w:val="24"/>
          <w:szCs w:val="24"/>
          <w:highlight w:val="none"/>
          <w:lang w:eastAsia="zh-CN" w:bidi="ar"/>
        </w:rPr>
        <w:t>。</w:t>
      </w:r>
    </w:p>
    <w:p>
      <w:pPr>
        <w:spacing w:before="183" w:beforeLines="50" w:after="183" w:afterLines="50" w:line="600" w:lineRule="exac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七、综合评价情况及评价结论</w:t>
      </w:r>
    </w:p>
    <w:p>
      <w:pPr>
        <w:spacing w:line="600" w:lineRule="exact"/>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通过此次绩效自评，本</w:t>
      </w:r>
      <w:r>
        <w:rPr>
          <w:rFonts w:hint="eastAsia" w:asciiTheme="minorEastAsia" w:hAnsiTheme="minorEastAsia" w:eastAsiaTheme="minorEastAsia" w:cstheme="minorEastAsia"/>
          <w:color w:val="auto"/>
          <w:sz w:val="24"/>
          <w:szCs w:val="24"/>
          <w:highlight w:val="none"/>
          <w:lang w:val="en-US" w:eastAsia="zh-CN"/>
        </w:rPr>
        <w:t>单位</w:t>
      </w:r>
      <w:r>
        <w:rPr>
          <w:rFonts w:hint="eastAsia" w:asciiTheme="minorEastAsia" w:hAnsiTheme="minorEastAsia" w:eastAsiaTheme="minorEastAsia" w:cstheme="minorEastAsia"/>
          <w:color w:val="auto"/>
          <w:sz w:val="24"/>
          <w:szCs w:val="24"/>
          <w:highlight w:val="none"/>
        </w:rPr>
        <w:t>部门整体支出绩效自评得分为</w:t>
      </w:r>
      <w:r>
        <w:rPr>
          <w:rFonts w:hint="eastAsia" w:asciiTheme="minorEastAsia" w:hAnsiTheme="minorEastAsia" w:eastAsiaTheme="minorEastAsia" w:cstheme="minorEastAsia"/>
          <w:color w:val="auto"/>
          <w:sz w:val="24"/>
          <w:szCs w:val="24"/>
          <w:highlight w:val="none"/>
          <w:lang w:val="en-US" w:eastAsia="zh-CN"/>
        </w:rPr>
        <w:t>9</w:t>
      </w:r>
      <w:r>
        <w:rPr>
          <w:rFonts w:hint="default"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lang w:val="en-US" w:eastAsia="zh-CN"/>
        </w:rPr>
        <w:t>.99</w:t>
      </w:r>
      <w:r>
        <w:rPr>
          <w:rFonts w:hint="eastAsia" w:asciiTheme="minorEastAsia" w:hAnsiTheme="minorEastAsia" w:eastAsiaTheme="minorEastAsia" w:cstheme="minorEastAsia"/>
          <w:color w:val="auto"/>
          <w:sz w:val="24"/>
          <w:szCs w:val="24"/>
          <w:highlight w:val="none"/>
        </w:rPr>
        <w:t>分，其中：预算执行率</w:t>
      </w:r>
      <w:r>
        <w:rPr>
          <w:rFonts w:hint="eastAsia" w:asciiTheme="minorEastAsia" w:hAnsiTheme="minorEastAsia" w:eastAsiaTheme="minorEastAsia" w:cstheme="minorEastAsia"/>
          <w:color w:val="auto"/>
          <w:sz w:val="24"/>
          <w:szCs w:val="24"/>
          <w:highlight w:val="none"/>
          <w:lang w:val="en-US" w:eastAsia="zh-CN"/>
        </w:rPr>
        <w:t>指标9.99</w:t>
      </w:r>
      <w:r>
        <w:rPr>
          <w:rFonts w:hint="eastAsia" w:asciiTheme="minorEastAsia" w:hAnsiTheme="minorEastAsia" w:eastAsiaTheme="minorEastAsia" w:cstheme="minorEastAsia"/>
          <w:color w:val="auto"/>
          <w:sz w:val="24"/>
          <w:szCs w:val="24"/>
          <w:highlight w:val="none"/>
        </w:rPr>
        <w:t>分，产出指标</w:t>
      </w:r>
      <w:r>
        <w:rPr>
          <w:rFonts w:hint="eastAsia" w:asciiTheme="minorEastAsia" w:hAnsiTheme="minorEastAsia" w:eastAsiaTheme="minorEastAsia" w:cstheme="minorEastAsia"/>
          <w:color w:val="auto"/>
          <w:sz w:val="24"/>
          <w:szCs w:val="24"/>
          <w:highlight w:val="none"/>
          <w:lang w:val="en-US" w:eastAsia="zh-CN"/>
        </w:rPr>
        <w:t>47</w:t>
      </w:r>
      <w:r>
        <w:rPr>
          <w:rFonts w:hint="eastAsia" w:asciiTheme="minorEastAsia" w:hAnsiTheme="minorEastAsia" w:eastAsiaTheme="minorEastAsia" w:cstheme="minorEastAsia"/>
          <w:color w:val="auto"/>
          <w:sz w:val="24"/>
          <w:szCs w:val="24"/>
          <w:highlight w:val="none"/>
        </w:rPr>
        <w:t>分，效益指标</w:t>
      </w:r>
      <w:r>
        <w:rPr>
          <w:rFonts w:hint="eastAsia" w:asciiTheme="minorEastAsia" w:hAnsiTheme="minorEastAsia" w:eastAsiaTheme="minorEastAsia" w:cstheme="minorEastAsia"/>
          <w:color w:val="auto"/>
          <w:sz w:val="24"/>
          <w:szCs w:val="24"/>
          <w:highlight w:val="none"/>
          <w:lang w:val="en-US" w:eastAsia="zh-CN"/>
        </w:rPr>
        <w:t>30</w:t>
      </w:r>
      <w:r>
        <w:rPr>
          <w:rFonts w:hint="eastAsia" w:asciiTheme="minorEastAsia" w:hAnsiTheme="minorEastAsia" w:eastAsiaTheme="minorEastAsia" w:cstheme="minorEastAsia"/>
          <w:color w:val="auto"/>
          <w:sz w:val="24"/>
          <w:szCs w:val="24"/>
          <w:highlight w:val="none"/>
        </w:rPr>
        <w:t>分，满意度指标</w:t>
      </w:r>
      <w:r>
        <w:rPr>
          <w:rFonts w:hint="default" w:asciiTheme="minorEastAsia" w:hAnsiTheme="minorEastAsia" w:eastAsiaTheme="minorEastAsia" w:cstheme="minorEastAsia"/>
          <w:color w:val="auto"/>
          <w:sz w:val="24"/>
          <w:szCs w:val="24"/>
          <w:highlight w:val="none"/>
          <w:lang w:val="en-US"/>
        </w:rPr>
        <w:t>9</w:t>
      </w:r>
      <w:r>
        <w:rPr>
          <w:rFonts w:hint="eastAsia" w:asciiTheme="minorEastAsia" w:hAnsiTheme="minorEastAsia" w:eastAsiaTheme="minorEastAsia" w:cstheme="minorEastAsia"/>
          <w:color w:val="auto"/>
          <w:sz w:val="24"/>
          <w:szCs w:val="24"/>
          <w:highlight w:val="none"/>
        </w:rPr>
        <w:t>分，本局评价结果等次为“优”。详细评价情况见附件2【湘西州工业和信息化局整体支出绩效评价自评表</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2022年度</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w:t>
      </w:r>
    </w:p>
    <w:tbl>
      <w:tblPr>
        <w:tblStyle w:val="9"/>
        <w:tblpPr w:leftFromText="180" w:rightFromText="180" w:vertAnchor="text" w:horzAnchor="page" w:tblpX="1857" w:tblpY="89"/>
        <w:tblOverlap w:val="never"/>
        <w:tblW w:w="8466" w:type="dxa"/>
        <w:tblInd w:w="0" w:type="dxa"/>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Layout w:type="autofit"/>
        <w:tblCellMar>
          <w:top w:w="30" w:type="dxa"/>
          <w:left w:w="30" w:type="dxa"/>
          <w:bottom w:w="30" w:type="dxa"/>
          <w:right w:w="30" w:type="dxa"/>
        </w:tblCellMar>
      </w:tblPr>
      <w:tblGrid>
        <w:gridCol w:w="2063"/>
        <w:gridCol w:w="2064"/>
        <w:gridCol w:w="2064"/>
        <w:gridCol w:w="2275"/>
      </w:tblGrid>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30" w:type="dxa"/>
            <w:left w:w="30" w:type="dxa"/>
            <w:bottom w:w="30" w:type="dxa"/>
            <w:right w:w="30" w:type="dxa"/>
          </w:tblCellMar>
        </w:tblPrEx>
        <w:trPr>
          <w:trHeight w:val="613" w:hRule="atLeast"/>
        </w:trPr>
        <w:tc>
          <w:tcPr>
            <w:tcW w:w="2063"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kern w:val="2"/>
                <w:sz w:val="28"/>
                <w:szCs w:val="28"/>
              </w:rPr>
            </w:pPr>
            <w:r>
              <w:rPr>
                <w:rFonts w:hint="eastAsia" w:ascii="宋体" w:hAnsi="宋体" w:eastAsia="宋体" w:cs="宋体"/>
                <w:b/>
                <w:bCs/>
                <w:color w:val="auto"/>
                <w:kern w:val="2"/>
                <w:sz w:val="28"/>
                <w:szCs w:val="28"/>
              </w:rPr>
              <w:t>一级指标</w:t>
            </w:r>
          </w:p>
        </w:tc>
        <w:tc>
          <w:tcPr>
            <w:tcW w:w="2064"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kern w:val="2"/>
                <w:sz w:val="28"/>
                <w:szCs w:val="28"/>
              </w:rPr>
            </w:pPr>
            <w:r>
              <w:rPr>
                <w:rFonts w:hint="eastAsia" w:ascii="宋体" w:hAnsi="宋体" w:eastAsia="宋体" w:cs="宋体"/>
                <w:b/>
                <w:bCs/>
                <w:color w:val="auto"/>
                <w:kern w:val="2"/>
                <w:sz w:val="28"/>
                <w:szCs w:val="28"/>
              </w:rPr>
              <w:t>指标分值</w:t>
            </w:r>
          </w:p>
        </w:tc>
        <w:tc>
          <w:tcPr>
            <w:tcW w:w="2064"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kern w:val="2"/>
                <w:sz w:val="28"/>
                <w:szCs w:val="28"/>
              </w:rPr>
            </w:pPr>
            <w:r>
              <w:rPr>
                <w:rFonts w:hint="eastAsia" w:ascii="宋体" w:hAnsi="宋体" w:eastAsia="宋体" w:cs="宋体"/>
                <w:b/>
                <w:bCs/>
                <w:color w:val="auto"/>
                <w:kern w:val="2"/>
                <w:sz w:val="28"/>
                <w:szCs w:val="28"/>
              </w:rPr>
              <w:t>自评得分</w:t>
            </w:r>
          </w:p>
        </w:tc>
        <w:tc>
          <w:tcPr>
            <w:tcW w:w="2275"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kern w:val="2"/>
                <w:sz w:val="28"/>
                <w:szCs w:val="28"/>
              </w:rPr>
            </w:pPr>
            <w:r>
              <w:rPr>
                <w:rFonts w:hint="eastAsia" w:ascii="宋体" w:hAnsi="宋体" w:eastAsia="宋体" w:cs="宋体"/>
                <w:b/>
                <w:bCs/>
                <w:color w:val="auto"/>
                <w:kern w:val="2"/>
                <w:sz w:val="28"/>
                <w:szCs w:val="28"/>
              </w:rPr>
              <w:t>得分率</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30" w:type="dxa"/>
            <w:left w:w="30" w:type="dxa"/>
            <w:bottom w:w="30" w:type="dxa"/>
            <w:right w:w="30" w:type="dxa"/>
          </w:tblCellMar>
        </w:tblPrEx>
        <w:trPr>
          <w:trHeight w:val="583" w:hRule="atLeast"/>
        </w:trPr>
        <w:tc>
          <w:tcPr>
            <w:tcW w:w="2063"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预算执行率</w:t>
            </w:r>
          </w:p>
        </w:tc>
        <w:tc>
          <w:tcPr>
            <w:tcW w:w="2064"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10</w:t>
            </w:r>
          </w:p>
        </w:tc>
        <w:tc>
          <w:tcPr>
            <w:tcW w:w="2064"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center"/>
              <w:textAlignment w:val="auto"/>
              <w:rPr>
                <w:rFonts w:hint="default" w:ascii="宋体" w:hAnsi="宋体" w:eastAsia="宋体" w:cs="宋体"/>
                <w:color w:val="auto"/>
                <w:sz w:val="28"/>
                <w:szCs w:val="28"/>
                <w:lang w:val="en-US" w:eastAsia="zh-CN"/>
              </w:rPr>
            </w:pPr>
            <w:r>
              <w:rPr>
                <w:rFonts w:hint="eastAsia" w:ascii="宋体" w:hAnsi="宋体" w:cs="宋体"/>
                <w:color w:val="auto"/>
                <w:sz w:val="28"/>
                <w:szCs w:val="28"/>
                <w:lang w:val="en-US" w:eastAsia="zh-CN"/>
              </w:rPr>
              <w:t>9.99</w:t>
            </w:r>
          </w:p>
        </w:tc>
        <w:tc>
          <w:tcPr>
            <w:tcW w:w="2275"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center"/>
              <w:textAlignment w:val="auto"/>
              <w:rPr>
                <w:rFonts w:hint="eastAsia" w:ascii="宋体" w:hAnsi="宋体" w:eastAsia="宋体" w:cs="宋体"/>
                <w:color w:val="auto"/>
                <w:sz w:val="28"/>
                <w:szCs w:val="28"/>
              </w:rPr>
            </w:pPr>
            <w:r>
              <w:rPr>
                <w:rFonts w:hint="eastAsia" w:ascii="宋体" w:hAnsi="宋体" w:cs="宋体"/>
                <w:color w:val="auto"/>
                <w:sz w:val="28"/>
                <w:szCs w:val="28"/>
                <w:lang w:val="en-US" w:eastAsia="zh-CN"/>
              </w:rPr>
              <w:t>99.90</w:t>
            </w:r>
            <w:r>
              <w:rPr>
                <w:rFonts w:hint="eastAsia" w:ascii="宋体" w:hAnsi="宋体" w:eastAsia="宋体" w:cs="宋体"/>
                <w:color w:val="auto"/>
                <w:sz w:val="28"/>
                <w:szCs w:val="28"/>
              </w:rPr>
              <w:t>%</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30" w:type="dxa"/>
            <w:left w:w="30" w:type="dxa"/>
            <w:bottom w:w="30" w:type="dxa"/>
            <w:right w:w="30" w:type="dxa"/>
          </w:tblCellMar>
        </w:tblPrEx>
        <w:trPr>
          <w:trHeight w:val="564" w:hRule="atLeast"/>
        </w:trPr>
        <w:tc>
          <w:tcPr>
            <w:tcW w:w="2063"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产出指标</w:t>
            </w:r>
          </w:p>
        </w:tc>
        <w:tc>
          <w:tcPr>
            <w:tcW w:w="2064"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50</w:t>
            </w:r>
          </w:p>
        </w:tc>
        <w:tc>
          <w:tcPr>
            <w:tcW w:w="2064"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center"/>
              <w:textAlignment w:val="auto"/>
              <w:rPr>
                <w:rFonts w:hint="default" w:ascii="宋体" w:hAnsi="宋体" w:eastAsia="宋体" w:cs="宋体"/>
                <w:color w:val="auto"/>
                <w:sz w:val="28"/>
                <w:szCs w:val="28"/>
                <w:lang w:val="en-US" w:eastAsia="zh-CN"/>
              </w:rPr>
            </w:pPr>
            <w:r>
              <w:rPr>
                <w:rFonts w:hint="eastAsia" w:ascii="宋体" w:hAnsi="宋体" w:cs="宋体"/>
                <w:color w:val="auto"/>
                <w:sz w:val="28"/>
                <w:szCs w:val="28"/>
                <w:lang w:val="en-US" w:eastAsia="zh-CN"/>
              </w:rPr>
              <w:t>47</w:t>
            </w:r>
          </w:p>
        </w:tc>
        <w:tc>
          <w:tcPr>
            <w:tcW w:w="2275"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center"/>
              <w:textAlignment w:val="auto"/>
              <w:rPr>
                <w:rFonts w:hint="eastAsia" w:ascii="宋体" w:hAnsi="宋体" w:eastAsia="宋体" w:cs="宋体"/>
                <w:color w:val="auto"/>
                <w:sz w:val="28"/>
                <w:szCs w:val="28"/>
              </w:rPr>
            </w:pPr>
            <w:r>
              <w:rPr>
                <w:rFonts w:hint="eastAsia" w:ascii="宋体" w:hAnsi="宋体" w:cs="宋体"/>
                <w:color w:val="auto"/>
                <w:sz w:val="28"/>
                <w:szCs w:val="28"/>
                <w:lang w:val="en-US" w:eastAsia="zh-CN"/>
              </w:rPr>
              <w:t>94</w:t>
            </w:r>
            <w:r>
              <w:rPr>
                <w:rFonts w:hint="eastAsia" w:ascii="宋体" w:hAnsi="宋体" w:eastAsia="宋体" w:cs="宋体"/>
                <w:color w:val="auto"/>
                <w:sz w:val="28"/>
                <w:szCs w:val="28"/>
              </w:rPr>
              <w:t>%</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rPr>
          <w:trHeight w:val="583" w:hRule="atLeast"/>
        </w:trPr>
        <w:tc>
          <w:tcPr>
            <w:tcW w:w="2063"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效益指标</w:t>
            </w:r>
          </w:p>
        </w:tc>
        <w:tc>
          <w:tcPr>
            <w:tcW w:w="2064"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30</w:t>
            </w:r>
          </w:p>
        </w:tc>
        <w:tc>
          <w:tcPr>
            <w:tcW w:w="2064"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center"/>
              <w:textAlignment w:val="auto"/>
              <w:rPr>
                <w:rFonts w:hint="default" w:ascii="宋体" w:hAnsi="宋体" w:eastAsia="宋体" w:cs="宋体"/>
                <w:color w:val="auto"/>
                <w:sz w:val="28"/>
                <w:szCs w:val="28"/>
                <w:lang w:val="en-US" w:eastAsia="zh-CN"/>
              </w:rPr>
            </w:pPr>
            <w:r>
              <w:rPr>
                <w:rFonts w:hint="eastAsia" w:ascii="宋体" w:hAnsi="宋体" w:cs="宋体"/>
                <w:color w:val="auto"/>
                <w:sz w:val="28"/>
                <w:szCs w:val="28"/>
                <w:lang w:val="en-US" w:eastAsia="zh-CN"/>
              </w:rPr>
              <w:t>30</w:t>
            </w:r>
          </w:p>
        </w:tc>
        <w:tc>
          <w:tcPr>
            <w:tcW w:w="2275"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center"/>
              <w:textAlignment w:val="auto"/>
              <w:rPr>
                <w:rFonts w:hint="eastAsia" w:ascii="宋体" w:hAnsi="宋体" w:eastAsia="宋体" w:cs="宋体"/>
                <w:color w:val="auto"/>
                <w:sz w:val="28"/>
                <w:szCs w:val="28"/>
              </w:rPr>
            </w:pPr>
            <w:r>
              <w:rPr>
                <w:rFonts w:hint="eastAsia" w:ascii="宋体" w:hAnsi="宋体" w:cs="宋体"/>
                <w:color w:val="auto"/>
                <w:sz w:val="28"/>
                <w:szCs w:val="28"/>
                <w:lang w:val="en-US" w:eastAsia="zh-CN"/>
              </w:rPr>
              <w:t>100</w:t>
            </w:r>
            <w:r>
              <w:rPr>
                <w:rFonts w:hint="eastAsia" w:ascii="宋体" w:hAnsi="宋体" w:eastAsia="宋体" w:cs="宋体"/>
                <w:color w:val="auto"/>
                <w:sz w:val="28"/>
                <w:szCs w:val="28"/>
              </w:rPr>
              <w:t>%</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30" w:type="dxa"/>
            <w:left w:w="30" w:type="dxa"/>
            <w:bottom w:w="30" w:type="dxa"/>
            <w:right w:w="30" w:type="dxa"/>
          </w:tblCellMar>
        </w:tblPrEx>
        <w:trPr>
          <w:trHeight w:val="583" w:hRule="atLeast"/>
        </w:trPr>
        <w:tc>
          <w:tcPr>
            <w:tcW w:w="2063"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满意度效益指标</w:t>
            </w:r>
          </w:p>
        </w:tc>
        <w:tc>
          <w:tcPr>
            <w:tcW w:w="2064"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center"/>
              <w:textAlignment w:val="auto"/>
              <w:rPr>
                <w:rFonts w:hint="default" w:ascii="宋体" w:hAnsi="宋体" w:eastAsia="宋体" w:cs="宋体"/>
                <w:color w:val="auto"/>
                <w:sz w:val="28"/>
                <w:szCs w:val="28"/>
                <w:lang w:val="en-US" w:eastAsia="zh-CN"/>
              </w:rPr>
            </w:pPr>
            <w:r>
              <w:rPr>
                <w:rFonts w:hint="eastAsia" w:ascii="宋体" w:hAnsi="宋体" w:cs="宋体"/>
                <w:color w:val="auto"/>
                <w:sz w:val="28"/>
                <w:szCs w:val="28"/>
                <w:lang w:val="en-US" w:eastAsia="zh-CN"/>
              </w:rPr>
              <w:t>10</w:t>
            </w:r>
          </w:p>
        </w:tc>
        <w:tc>
          <w:tcPr>
            <w:tcW w:w="2064"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center"/>
              <w:textAlignment w:val="auto"/>
              <w:rPr>
                <w:rFonts w:hint="eastAsia" w:ascii="宋体" w:hAnsi="宋体" w:eastAsia="宋体" w:cs="宋体"/>
                <w:color w:val="auto"/>
                <w:sz w:val="28"/>
                <w:szCs w:val="28"/>
              </w:rPr>
            </w:pPr>
            <w:r>
              <w:rPr>
                <w:rFonts w:hint="default" w:ascii="宋体" w:hAnsi="宋体" w:cs="宋体"/>
                <w:color w:val="auto"/>
                <w:sz w:val="28"/>
                <w:szCs w:val="28"/>
                <w:lang w:val="en-US"/>
              </w:rPr>
              <w:t>9</w:t>
            </w:r>
          </w:p>
        </w:tc>
        <w:tc>
          <w:tcPr>
            <w:tcW w:w="2275"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100%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30" w:type="dxa"/>
            <w:left w:w="30" w:type="dxa"/>
            <w:bottom w:w="30" w:type="dxa"/>
            <w:right w:w="30" w:type="dxa"/>
          </w:tblCellMar>
        </w:tblPrEx>
        <w:trPr>
          <w:trHeight w:val="583" w:hRule="atLeast"/>
        </w:trPr>
        <w:tc>
          <w:tcPr>
            <w:tcW w:w="2063"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合</w:t>
            </w:r>
            <w:r>
              <w:rPr>
                <w:rFonts w:hint="eastAsia" w:ascii="宋体" w:hAnsi="宋体" w:cs="宋体"/>
                <w:color w:val="auto"/>
                <w:sz w:val="28"/>
                <w:szCs w:val="28"/>
                <w:lang w:val="en-US" w:eastAsia="zh-CN"/>
              </w:rPr>
              <w:t xml:space="preserve">  </w:t>
            </w:r>
            <w:r>
              <w:rPr>
                <w:rFonts w:hint="eastAsia" w:ascii="宋体" w:hAnsi="宋体" w:eastAsia="宋体" w:cs="宋体"/>
                <w:color w:val="auto"/>
                <w:sz w:val="28"/>
                <w:szCs w:val="28"/>
              </w:rPr>
              <w:t>计</w:t>
            </w:r>
          </w:p>
        </w:tc>
        <w:tc>
          <w:tcPr>
            <w:tcW w:w="2064"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100</w:t>
            </w:r>
          </w:p>
        </w:tc>
        <w:tc>
          <w:tcPr>
            <w:tcW w:w="2064"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center"/>
              <w:textAlignment w:val="auto"/>
              <w:rPr>
                <w:rFonts w:hint="default" w:ascii="宋体" w:hAnsi="宋体" w:eastAsia="宋体" w:cs="宋体"/>
                <w:color w:val="auto"/>
                <w:sz w:val="28"/>
                <w:szCs w:val="28"/>
                <w:lang w:val="en-US" w:eastAsia="zh-CN"/>
              </w:rPr>
            </w:pPr>
            <w:r>
              <w:rPr>
                <w:rFonts w:hint="eastAsia" w:ascii="宋体" w:hAnsi="宋体" w:cs="宋体"/>
                <w:color w:val="auto"/>
                <w:sz w:val="28"/>
                <w:szCs w:val="28"/>
                <w:lang w:val="en-US" w:eastAsia="zh-CN"/>
              </w:rPr>
              <w:t>9</w:t>
            </w:r>
            <w:r>
              <w:rPr>
                <w:rFonts w:hint="default" w:ascii="宋体" w:hAnsi="宋体" w:cs="宋体"/>
                <w:color w:val="auto"/>
                <w:sz w:val="28"/>
                <w:szCs w:val="28"/>
                <w:lang w:val="en-US" w:eastAsia="zh-CN"/>
              </w:rPr>
              <w:t>5</w:t>
            </w:r>
            <w:r>
              <w:rPr>
                <w:rFonts w:hint="eastAsia" w:ascii="宋体" w:hAnsi="宋体" w:cs="宋体"/>
                <w:color w:val="auto"/>
                <w:sz w:val="28"/>
                <w:szCs w:val="28"/>
                <w:lang w:val="en-US" w:eastAsia="zh-CN"/>
              </w:rPr>
              <w:t>.99</w:t>
            </w:r>
          </w:p>
        </w:tc>
        <w:tc>
          <w:tcPr>
            <w:tcW w:w="2275" w:type="dxa"/>
            <w:tcBorders>
              <w:top w:val="outset" w:color="000000" w:sz="6" w:space="0"/>
              <w:left w:val="outset" w:color="000000" w:sz="6" w:space="0"/>
              <w:bottom w:val="outset" w:color="000000" w:sz="6" w:space="0"/>
              <w:right w:val="outset" w:color="000000" w:sz="6" w:space="0"/>
            </w:tcBorders>
            <w:shd w:val="clear" w:color="auto" w:fill="FFFFFF"/>
            <w:noWrap w:val="0"/>
            <w:tcMar>
              <w:top w:w="0" w:type="dxa"/>
              <w:left w:w="0" w:type="dxa"/>
              <w:bottom w:w="0" w:type="dxa"/>
              <w:right w:w="0" w:type="dxa"/>
            </w:tcMar>
            <w:vAlign w:val="center"/>
          </w:tcPr>
          <w:p>
            <w:pPr>
              <w:keepNext w:val="0"/>
              <w:keepLines w:val="0"/>
              <w:pageBreakBefore w:val="0"/>
              <w:suppressLineNumbers w:val="0"/>
              <w:kinsoku/>
              <w:wordWrap/>
              <w:overflowPunct/>
              <w:topLinePunct w:val="0"/>
              <w:autoSpaceDN/>
              <w:bidi w:val="0"/>
              <w:adjustRightInd/>
              <w:snapToGrid/>
              <w:spacing w:before="75" w:beforeAutospacing="0" w:after="75" w:afterAutospacing="0" w:line="360" w:lineRule="auto"/>
              <w:ind w:left="0" w:right="0"/>
              <w:jc w:val="center"/>
              <w:textAlignment w:val="auto"/>
              <w:rPr>
                <w:rFonts w:hint="eastAsia" w:ascii="宋体" w:hAnsi="宋体" w:eastAsia="宋体" w:cs="宋体"/>
                <w:color w:val="auto"/>
                <w:sz w:val="28"/>
                <w:szCs w:val="28"/>
              </w:rPr>
            </w:pPr>
            <w:r>
              <w:rPr>
                <w:rFonts w:hint="eastAsia" w:ascii="宋体" w:hAnsi="宋体" w:cs="宋体"/>
                <w:color w:val="auto"/>
                <w:sz w:val="28"/>
                <w:szCs w:val="28"/>
                <w:lang w:val="en-US" w:eastAsia="zh-CN"/>
              </w:rPr>
              <w:t>9</w:t>
            </w:r>
            <w:r>
              <w:rPr>
                <w:rFonts w:hint="default" w:ascii="宋体" w:hAnsi="宋体" w:cs="宋体"/>
                <w:color w:val="auto"/>
                <w:sz w:val="28"/>
                <w:szCs w:val="28"/>
                <w:lang w:val="en-US" w:eastAsia="zh-CN"/>
              </w:rPr>
              <w:t>5</w:t>
            </w:r>
            <w:r>
              <w:rPr>
                <w:rFonts w:hint="eastAsia" w:ascii="宋体" w:hAnsi="宋体" w:cs="宋体"/>
                <w:color w:val="auto"/>
                <w:sz w:val="28"/>
                <w:szCs w:val="28"/>
                <w:lang w:val="en-US" w:eastAsia="zh-CN"/>
              </w:rPr>
              <w:t>.99</w:t>
            </w:r>
            <w:r>
              <w:rPr>
                <w:rFonts w:hint="eastAsia" w:ascii="宋体" w:hAnsi="宋体" w:eastAsia="宋体" w:cs="宋体"/>
                <w:color w:val="auto"/>
                <w:sz w:val="28"/>
                <w:szCs w:val="28"/>
              </w:rPr>
              <w:t>%</w:t>
            </w:r>
          </w:p>
        </w:tc>
      </w:tr>
    </w:tbl>
    <w:p>
      <w:pPr>
        <w:spacing w:line="600" w:lineRule="exact"/>
        <w:ind w:firstLine="480" w:firstLineChars="200"/>
        <w:rPr>
          <w:rFonts w:hint="eastAsia" w:asciiTheme="minorEastAsia" w:hAnsiTheme="minorEastAsia" w:eastAsiaTheme="minorEastAsia" w:cstheme="minorEastAsia"/>
          <w:color w:val="auto"/>
          <w:sz w:val="24"/>
          <w:szCs w:val="24"/>
          <w:highlight w:val="none"/>
          <w:lang w:eastAsia="zh-CN"/>
        </w:rPr>
      </w:pPr>
    </w:p>
    <w:p>
      <w:pPr>
        <w:spacing w:before="183" w:beforeLines="50" w:after="183" w:afterLines="50" w:line="600" w:lineRule="exac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八、主要经验做法、存在的问题及原因分析</w:t>
      </w:r>
    </w:p>
    <w:p>
      <w:pPr>
        <w:widowControl/>
        <w:numPr>
          <w:ilvl w:val="0"/>
          <w:numId w:val="0"/>
        </w:numPr>
        <w:spacing w:before="183" w:beforeLines="50" w:line="580" w:lineRule="exact"/>
        <w:outlineLvl w:val="0"/>
        <w:rPr>
          <w:rFonts w:hint="eastAsia" w:asciiTheme="minorEastAsia" w:hAnsiTheme="minorEastAsia" w:eastAsiaTheme="minorEastAsia" w:cstheme="minorEastAsia"/>
          <w:b/>
          <w:bCs/>
          <w:color w:val="auto"/>
          <w:kern w:val="0"/>
          <w:sz w:val="24"/>
          <w:szCs w:val="24"/>
          <w:highlight w:val="none"/>
          <w:lang w:bidi="ar"/>
        </w:rPr>
      </w:pPr>
      <w:r>
        <w:rPr>
          <w:rFonts w:hint="eastAsia" w:asciiTheme="minorEastAsia" w:hAnsiTheme="minorEastAsia" w:eastAsiaTheme="minorEastAsia" w:cstheme="minorEastAsia"/>
          <w:b/>
          <w:bCs/>
          <w:color w:val="auto"/>
          <w:kern w:val="0"/>
          <w:sz w:val="24"/>
          <w:szCs w:val="24"/>
          <w:highlight w:val="none"/>
          <w:lang w:val="en-US" w:eastAsia="zh-CN" w:bidi="ar"/>
        </w:rPr>
        <w:t>1.</w:t>
      </w:r>
      <w:r>
        <w:rPr>
          <w:rFonts w:hint="eastAsia" w:asciiTheme="minorEastAsia" w:hAnsiTheme="minorEastAsia" w:eastAsiaTheme="minorEastAsia" w:cstheme="minorEastAsia"/>
          <w:b/>
          <w:bCs/>
          <w:color w:val="auto"/>
          <w:kern w:val="0"/>
          <w:sz w:val="24"/>
          <w:szCs w:val="24"/>
          <w:highlight w:val="none"/>
          <w:lang w:bidi="ar"/>
        </w:rPr>
        <w:t>主要做法</w:t>
      </w:r>
    </w:p>
    <w:p>
      <w:pPr>
        <w:widowControl/>
        <w:numPr>
          <w:ilvl w:val="0"/>
          <w:numId w:val="0"/>
        </w:numPr>
        <w:spacing w:before="183" w:beforeLines="50" w:line="580" w:lineRule="exact"/>
        <w:ind w:firstLine="240" w:firstLineChars="100"/>
        <w:outlineLvl w:val="0"/>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b w:val="0"/>
          <w:bCs w:val="0"/>
          <w:color w:val="auto"/>
          <w:kern w:val="0"/>
          <w:sz w:val="24"/>
          <w:szCs w:val="24"/>
          <w:highlight w:val="none"/>
          <w:lang w:bidi="ar"/>
        </w:rPr>
        <w:t>（1）预算管理工作</w:t>
      </w:r>
      <w:r>
        <w:rPr>
          <w:rFonts w:hint="eastAsia" w:asciiTheme="minorEastAsia" w:hAnsiTheme="minorEastAsia" w:eastAsiaTheme="minorEastAsia" w:cstheme="minorEastAsia"/>
          <w:b w:val="0"/>
          <w:bCs w:val="0"/>
          <w:color w:val="auto"/>
          <w:kern w:val="0"/>
          <w:sz w:val="24"/>
          <w:szCs w:val="24"/>
          <w:highlight w:val="none"/>
          <w:lang w:val="en-US" w:eastAsia="zh-CN" w:bidi="ar"/>
        </w:rPr>
        <w:t>精</w:t>
      </w:r>
      <w:r>
        <w:rPr>
          <w:rFonts w:hint="eastAsia" w:asciiTheme="minorEastAsia" w:hAnsiTheme="minorEastAsia" w:eastAsiaTheme="minorEastAsia" w:cstheme="minorEastAsia"/>
          <w:b w:val="0"/>
          <w:bCs w:val="0"/>
          <w:color w:val="auto"/>
          <w:kern w:val="0"/>
          <w:sz w:val="24"/>
          <w:szCs w:val="24"/>
          <w:highlight w:val="none"/>
          <w:lang w:bidi="ar"/>
        </w:rPr>
        <w:t>细化</w:t>
      </w:r>
      <w:r>
        <w:rPr>
          <w:rFonts w:hint="eastAsia" w:asciiTheme="minorEastAsia" w:hAnsiTheme="minorEastAsia" w:eastAsiaTheme="minorEastAsia" w:cstheme="minorEastAsia"/>
          <w:b w:val="0"/>
          <w:bCs w:val="0"/>
          <w:color w:val="auto"/>
          <w:kern w:val="0"/>
          <w:sz w:val="24"/>
          <w:szCs w:val="24"/>
          <w:highlight w:val="none"/>
          <w:lang w:eastAsia="zh-CN" w:bidi="ar"/>
        </w:rPr>
        <w:t>。</w:t>
      </w:r>
      <w:r>
        <w:rPr>
          <w:rFonts w:hint="eastAsia" w:asciiTheme="minorEastAsia" w:hAnsiTheme="minorEastAsia" w:eastAsiaTheme="minorEastAsia" w:cstheme="minorEastAsia"/>
          <w:b w:val="0"/>
          <w:bCs w:val="0"/>
          <w:color w:val="auto"/>
          <w:kern w:val="0"/>
          <w:sz w:val="24"/>
          <w:szCs w:val="24"/>
          <w:highlight w:val="none"/>
          <w:lang w:bidi="ar"/>
        </w:rPr>
        <w:t>严</w:t>
      </w:r>
      <w:r>
        <w:rPr>
          <w:rFonts w:hint="eastAsia" w:asciiTheme="minorEastAsia" w:hAnsiTheme="minorEastAsia" w:eastAsiaTheme="minorEastAsia" w:cstheme="minorEastAsia"/>
          <w:color w:val="auto"/>
          <w:kern w:val="0"/>
          <w:sz w:val="24"/>
          <w:szCs w:val="24"/>
          <w:highlight w:val="none"/>
          <w:lang w:bidi="ar"/>
        </w:rPr>
        <w:t>格按照预算编制的相关制度和要求</w:t>
      </w:r>
      <w:r>
        <w:rPr>
          <w:rFonts w:hint="eastAsia" w:asciiTheme="minorEastAsia" w:hAnsiTheme="minorEastAsia" w:eastAsiaTheme="minorEastAsia" w:cstheme="minorEastAsia"/>
          <w:b w:val="0"/>
          <w:bCs w:val="0"/>
          <w:color w:val="auto"/>
          <w:kern w:val="0"/>
          <w:sz w:val="24"/>
          <w:szCs w:val="24"/>
          <w:highlight w:val="none"/>
          <w:lang w:bidi="ar"/>
        </w:rPr>
        <w:t>认真</w:t>
      </w:r>
      <w:r>
        <w:rPr>
          <w:rFonts w:hint="eastAsia" w:asciiTheme="minorEastAsia" w:hAnsiTheme="minorEastAsia" w:eastAsiaTheme="minorEastAsia" w:cstheme="minorEastAsia"/>
          <w:b w:val="0"/>
          <w:bCs w:val="0"/>
          <w:color w:val="auto"/>
          <w:kern w:val="0"/>
          <w:sz w:val="24"/>
          <w:szCs w:val="24"/>
          <w:highlight w:val="none"/>
          <w:lang w:eastAsia="zh-CN" w:bidi="ar"/>
        </w:rPr>
        <w:t>，认真筹划，严密组织，</w:t>
      </w:r>
      <w:r>
        <w:rPr>
          <w:rFonts w:hint="eastAsia" w:asciiTheme="minorEastAsia" w:hAnsiTheme="minorEastAsia" w:eastAsiaTheme="minorEastAsia" w:cstheme="minorEastAsia"/>
          <w:b w:val="0"/>
          <w:bCs w:val="0"/>
          <w:color w:val="auto"/>
          <w:kern w:val="0"/>
          <w:sz w:val="24"/>
          <w:szCs w:val="24"/>
          <w:highlight w:val="none"/>
          <w:lang w:bidi="ar"/>
        </w:rPr>
        <w:t>做好预算的编制</w:t>
      </w:r>
      <w:r>
        <w:rPr>
          <w:rFonts w:hint="eastAsia" w:asciiTheme="minorEastAsia" w:hAnsiTheme="minorEastAsia" w:eastAsiaTheme="minorEastAsia" w:cstheme="minorEastAsia"/>
          <w:b w:val="0"/>
          <w:bCs w:val="0"/>
          <w:color w:val="auto"/>
          <w:kern w:val="0"/>
          <w:sz w:val="24"/>
          <w:szCs w:val="24"/>
          <w:highlight w:val="none"/>
          <w:lang w:val="en-US" w:eastAsia="zh-CN" w:bidi="ar"/>
        </w:rPr>
        <w:t>工作</w:t>
      </w:r>
      <w:r>
        <w:rPr>
          <w:rFonts w:hint="eastAsia" w:asciiTheme="minorEastAsia" w:hAnsiTheme="minorEastAsia" w:eastAsiaTheme="minorEastAsia" w:cstheme="minorEastAsia"/>
          <w:color w:val="auto"/>
          <w:kern w:val="0"/>
          <w:sz w:val="24"/>
          <w:szCs w:val="24"/>
          <w:highlight w:val="none"/>
          <w:lang w:bidi="ar"/>
        </w:rPr>
        <w:t>，</w:t>
      </w:r>
      <w:r>
        <w:rPr>
          <w:rFonts w:hint="eastAsia" w:asciiTheme="minorEastAsia" w:hAnsiTheme="minorEastAsia" w:eastAsiaTheme="minorEastAsia" w:cstheme="minorEastAsia"/>
          <w:color w:val="auto"/>
          <w:kern w:val="0"/>
          <w:sz w:val="24"/>
          <w:szCs w:val="24"/>
          <w:highlight w:val="none"/>
          <w:lang w:val="en-US" w:eastAsia="zh-CN" w:bidi="ar"/>
        </w:rPr>
        <w:t>持续</w:t>
      </w:r>
      <w:r>
        <w:rPr>
          <w:rFonts w:hint="eastAsia" w:asciiTheme="minorEastAsia" w:hAnsiTheme="minorEastAsia" w:eastAsiaTheme="minorEastAsia" w:cstheme="minorEastAsia"/>
          <w:color w:val="auto"/>
          <w:kern w:val="0"/>
          <w:sz w:val="24"/>
          <w:szCs w:val="24"/>
          <w:highlight w:val="none"/>
          <w:lang w:bidi="ar"/>
        </w:rPr>
        <w:t>提高预算编制的科学性、</w:t>
      </w:r>
      <w:r>
        <w:rPr>
          <w:rFonts w:hint="eastAsia" w:asciiTheme="minorEastAsia" w:hAnsiTheme="minorEastAsia" w:eastAsiaTheme="minorEastAsia" w:cstheme="minorEastAsia"/>
          <w:color w:val="auto"/>
          <w:kern w:val="0"/>
          <w:sz w:val="24"/>
          <w:szCs w:val="24"/>
          <w:highlight w:val="none"/>
          <w:lang w:val="en-US" w:eastAsia="zh-CN" w:bidi="ar"/>
        </w:rPr>
        <w:t>合理</w:t>
      </w:r>
      <w:r>
        <w:rPr>
          <w:rFonts w:hint="eastAsia" w:asciiTheme="minorEastAsia" w:hAnsiTheme="minorEastAsia" w:eastAsiaTheme="minorEastAsia" w:cstheme="minorEastAsia"/>
          <w:color w:val="auto"/>
          <w:kern w:val="0"/>
          <w:sz w:val="24"/>
          <w:szCs w:val="24"/>
          <w:highlight w:val="none"/>
          <w:lang w:bidi="ar"/>
        </w:rPr>
        <w:t>性和可控性。2022年，本部门预算执行率99.93%，比2021年的93.56%提高</w:t>
      </w:r>
      <w:r>
        <w:rPr>
          <w:rFonts w:hint="eastAsia" w:asciiTheme="minorEastAsia" w:hAnsiTheme="minorEastAsia" w:eastAsiaTheme="minorEastAsia" w:cstheme="minorEastAsia"/>
          <w:color w:val="auto"/>
          <w:kern w:val="0"/>
          <w:sz w:val="24"/>
          <w:szCs w:val="24"/>
          <w:highlight w:val="none"/>
          <w:lang w:val="en-US" w:eastAsia="zh-CN" w:bidi="ar"/>
        </w:rPr>
        <w:t>幅度较大</w:t>
      </w:r>
      <w:r>
        <w:rPr>
          <w:rFonts w:hint="eastAsia" w:asciiTheme="minorEastAsia" w:hAnsiTheme="minorEastAsia" w:eastAsiaTheme="minorEastAsia" w:cstheme="minorEastAsia"/>
          <w:color w:val="auto"/>
          <w:kern w:val="0"/>
          <w:sz w:val="24"/>
          <w:szCs w:val="24"/>
          <w:highlight w:val="none"/>
          <w:lang w:eastAsia="zh-CN" w:bidi="ar"/>
        </w:rPr>
        <w:t>。</w:t>
      </w:r>
    </w:p>
    <w:p>
      <w:pPr>
        <w:widowControl/>
        <w:spacing w:before="183" w:beforeLines="50" w:line="580" w:lineRule="exact"/>
        <w:ind w:firstLine="240" w:firstLineChars="100"/>
        <w:outlineLvl w:val="0"/>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color w:val="auto"/>
          <w:kern w:val="0"/>
          <w:sz w:val="24"/>
          <w:szCs w:val="24"/>
          <w:highlight w:val="none"/>
          <w:lang w:bidi="ar"/>
        </w:rPr>
        <w:t>（2）</w:t>
      </w:r>
      <w:r>
        <w:rPr>
          <w:rFonts w:hint="eastAsia" w:asciiTheme="minorEastAsia" w:hAnsiTheme="minorEastAsia" w:eastAsiaTheme="minorEastAsia" w:cstheme="minorEastAsia"/>
          <w:color w:val="auto"/>
          <w:kern w:val="0"/>
          <w:sz w:val="24"/>
          <w:szCs w:val="24"/>
          <w:highlight w:val="none"/>
          <w:lang w:val="en-US" w:eastAsia="zh-CN" w:bidi="ar"/>
        </w:rPr>
        <w:t>建立工业和信息化指标体系</w:t>
      </w:r>
      <w:r>
        <w:rPr>
          <w:rFonts w:hint="eastAsia" w:asciiTheme="minorEastAsia" w:hAnsiTheme="minorEastAsia" w:eastAsiaTheme="minorEastAsia" w:cstheme="minorEastAsia"/>
          <w:color w:val="auto"/>
          <w:kern w:val="0"/>
          <w:sz w:val="24"/>
          <w:szCs w:val="24"/>
          <w:highlight w:val="none"/>
          <w:lang w:bidi="ar"/>
        </w:rPr>
        <w:t>。 为认真落实绩效管理工作对预算支出绩效目标及绩效评价要求，在预算绩效管理工作中认真筹划</w:t>
      </w:r>
      <w:r>
        <w:rPr>
          <w:rFonts w:hint="eastAsia" w:asciiTheme="minorEastAsia" w:hAnsiTheme="minorEastAsia" w:eastAsiaTheme="minorEastAsia" w:cstheme="minorEastAsia"/>
          <w:color w:val="auto"/>
          <w:kern w:val="0"/>
          <w:sz w:val="24"/>
          <w:szCs w:val="24"/>
          <w:highlight w:val="none"/>
          <w:lang w:eastAsia="zh-CN" w:bidi="ar"/>
        </w:rPr>
        <w:t>，按照职能职责和工业和信息化工作目标任务及其他重点工作内容，科学设定评价指标体系。</w:t>
      </w:r>
    </w:p>
    <w:p>
      <w:pPr>
        <w:widowControl/>
        <w:spacing w:before="183" w:beforeLines="50" w:line="580" w:lineRule="exact"/>
        <w:ind w:firstLine="241" w:firstLineChars="100"/>
        <w:outlineLvl w:val="0"/>
        <w:rPr>
          <w:rFonts w:hint="eastAsia" w:asciiTheme="minorEastAsia" w:hAnsiTheme="minorEastAsia" w:eastAsiaTheme="minorEastAsia" w:cstheme="minorEastAsia"/>
          <w:b/>
          <w:color w:val="auto"/>
          <w:sz w:val="24"/>
          <w:szCs w:val="24"/>
          <w:highlight w:val="none"/>
        </w:rPr>
      </w:pPr>
      <w:r>
        <w:rPr>
          <w:rFonts w:hint="default" w:asciiTheme="minorEastAsia" w:hAnsiTheme="minorEastAsia" w:eastAsiaTheme="minorEastAsia" w:cstheme="minorEastAsia"/>
          <w:b/>
          <w:color w:val="auto"/>
          <w:sz w:val="24"/>
          <w:szCs w:val="24"/>
          <w:highlight w:val="none"/>
          <w:lang w:val="en-US"/>
        </w:rPr>
        <w:t>2</w:t>
      </w:r>
      <w:r>
        <w:rPr>
          <w:rFonts w:hint="eastAsia" w:asciiTheme="minorEastAsia" w:hAnsiTheme="minorEastAsia" w:eastAsiaTheme="minorEastAsia" w:cstheme="minorEastAsia"/>
          <w:b/>
          <w:color w:val="auto"/>
          <w:sz w:val="24"/>
          <w:szCs w:val="24"/>
          <w:highlight w:val="none"/>
          <w:lang w:val="en-US" w:eastAsia="zh-CN"/>
        </w:rPr>
        <w:t>.</w:t>
      </w:r>
      <w:r>
        <w:rPr>
          <w:rFonts w:hint="eastAsia" w:asciiTheme="minorEastAsia" w:hAnsiTheme="minorEastAsia" w:eastAsiaTheme="minorEastAsia" w:cstheme="minorEastAsia"/>
          <w:b/>
          <w:color w:val="auto"/>
          <w:sz w:val="24"/>
          <w:szCs w:val="24"/>
          <w:highlight w:val="none"/>
        </w:rPr>
        <w:t>存在的问题及原因分析</w:t>
      </w:r>
    </w:p>
    <w:p>
      <w:pPr>
        <w:spacing w:before="183" w:beforeLines="50" w:line="580" w:lineRule="exact"/>
        <w:ind w:firstLine="240" w:firstLineChars="100"/>
        <w:outlineLvl w:val="0"/>
        <w:rPr>
          <w:rFonts w:hint="eastAsia" w:asciiTheme="minorEastAsia" w:hAnsiTheme="minorEastAsia" w:eastAsiaTheme="minorEastAsia" w:cstheme="minorEastAsia"/>
          <w:b w:val="0"/>
          <w:bCs w:val="0"/>
          <w:color w:val="auto"/>
          <w:kern w:val="0"/>
          <w:sz w:val="24"/>
          <w:szCs w:val="24"/>
          <w:highlight w:val="none"/>
          <w:lang w:eastAsia="zh-CN" w:bidi="ar"/>
        </w:rPr>
      </w:pPr>
      <w:r>
        <w:rPr>
          <w:rFonts w:hint="eastAsia" w:asciiTheme="minorEastAsia" w:hAnsiTheme="minorEastAsia" w:eastAsiaTheme="minorEastAsia" w:cstheme="minorEastAsia"/>
          <w:b w:val="0"/>
          <w:bCs w:val="0"/>
          <w:color w:val="auto"/>
          <w:kern w:val="0"/>
          <w:sz w:val="24"/>
          <w:szCs w:val="24"/>
          <w:highlight w:val="none"/>
          <w:lang w:eastAsia="zh-CN" w:bidi="ar"/>
        </w:rPr>
        <w:t>（</w:t>
      </w:r>
      <w:r>
        <w:rPr>
          <w:rFonts w:hint="eastAsia" w:asciiTheme="minorEastAsia" w:hAnsiTheme="minorEastAsia" w:eastAsiaTheme="minorEastAsia" w:cstheme="minorEastAsia"/>
          <w:b w:val="0"/>
          <w:bCs w:val="0"/>
          <w:color w:val="auto"/>
          <w:kern w:val="0"/>
          <w:sz w:val="24"/>
          <w:szCs w:val="24"/>
          <w:highlight w:val="none"/>
          <w:lang w:val="en-US" w:eastAsia="zh-CN" w:bidi="ar"/>
        </w:rPr>
        <w:t>1</w:t>
      </w:r>
      <w:r>
        <w:rPr>
          <w:rFonts w:hint="eastAsia" w:asciiTheme="minorEastAsia" w:hAnsiTheme="minorEastAsia" w:eastAsiaTheme="minorEastAsia" w:cstheme="minorEastAsia"/>
          <w:b w:val="0"/>
          <w:bCs w:val="0"/>
          <w:color w:val="auto"/>
          <w:kern w:val="0"/>
          <w:sz w:val="24"/>
          <w:szCs w:val="24"/>
          <w:highlight w:val="none"/>
          <w:lang w:eastAsia="zh-CN" w:bidi="ar"/>
        </w:rPr>
        <w:t>）</w:t>
      </w:r>
      <w:r>
        <w:rPr>
          <w:rFonts w:hint="eastAsia" w:asciiTheme="minorEastAsia" w:hAnsiTheme="minorEastAsia" w:eastAsiaTheme="minorEastAsia" w:cstheme="minorEastAsia"/>
          <w:b w:val="0"/>
          <w:bCs w:val="0"/>
          <w:color w:val="auto"/>
          <w:kern w:val="0"/>
          <w:sz w:val="24"/>
          <w:szCs w:val="24"/>
          <w:highlight w:val="none"/>
          <w:lang w:bidi="ar"/>
        </w:rPr>
        <w:t>本局202</w:t>
      </w:r>
      <w:r>
        <w:rPr>
          <w:rFonts w:hint="eastAsia" w:asciiTheme="minorEastAsia" w:hAnsiTheme="minorEastAsia" w:eastAsiaTheme="minorEastAsia" w:cstheme="minorEastAsia"/>
          <w:b w:val="0"/>
          <w:bCs w:val="0"/>
          <w:color w:val="auto"/>
          <w:kern w:val="0"/>
          <w:sz w:val="24"/>
          <w:szCs w:val="24"/>
          <w:highlight w:val="none"/>
          <w:lang w:val="en-US" w:eastAsia="zh-CN" w:bidi="ar"/>
        </w:rPr>
        <w:t>2</w:t>
      </w:r>
      <w:r>
        <w:rPr>
          <w:rFonts w:hint="eastAsia" w:asciiTheme="minorEastAsia" w:hAnsiTheme="minorEastAsia" w:eastAsiaTheme="minorEastAsia" w:cstheme="minorEastAsia"/>
          <w:b w:val="0"/>
          <w:bCs w:val="0"/>
          <w:color w:val="auto"/>
          <w:kern w:val="0"/>
          <w:sz w:val="24"/>
          <w:szCs w:val="24"/>
          <w:highlight w:val="none"/>
          <w:lang w:bidi="ar"/>
        </w:rPr>
        <w:t>年度年初预算数为</w:t>
      </w:r>
      <w:r>
        <w:rPr>
          <w:rFonts w:hint="eastAsia" w:asciiTheme="minorEastAsia" w:hAnsiTheme="minorEastAsia" w:eastAsiaTheme="minorEastAsia" w:cstheme="minorEastAsia"/>
          <w:b w:val="0"/>
          <w:bCs w:val="0"/>
          <w:color w:val="auto"/>
          <w:kern w:val="0"/>
          <w:sz w:val="24"/>
          <w:szCs w:val="24"/>
          <w:highlight w:val="none"/>
          <w:lang w:val="en-US" w:eastAsia="zh-CN" w:bidi="ar"/>
        </w:rPr>
        <w:t>1761.31</w:t>
      </w:r>
      <w:r>
        <w:rPr>
          <w:rFonts w:hint="eastAsia" w:asciiTheme="minorEastAsia" w:hAnsiTheme="minorEastAsia" w:eastAsiaTheme="minorEastAsia" w:cstheme="minorEastAsia"/>
          <w:b w:val="0"/>
          <w:bCs w:val="0"/>
          <w:color w:val="auto"/>
          <w:kern w:val="0"/>
          <w:sz w:val="24"/>
          <w:szCs w:val="24"/>
          <w:highlight w:val="none"/>
          <w:lang w:bidi="ar"/>
        </w:rPr>
        <w:t>万元，后期追加预算</w:t>
      </w:r>
      <w:r>
        <w:rPr>
          <w:rFonts w:hint="eastAsia" w:asciiTheme="minorEastAsia" w:hAnsiTheme="minorEastAsia" w:eastAsiaTheme="minorEastAsia" w:cstheme="minorEastAsia"/>
          <w:b w:val="0"/>
          <w:bCs w:val="0"/>
          <w:color w:val="auto"/>
          <w:kern w:val="0"/>
          <w:sz w:val="24"/>
          <w:szCs w:val="24"/>
          <w:highlight w:val="none"/>
          <w:lang w:val="en-US" w:eastAsia="zh-CN" w:bidi="ar"/>
        </w:rPr>
        <w:t>7227.63</w:t>
      </w:r>
      <w:r>
        <w:rPr>
          <w:rFonts w:hint="eastAsia" w:asciiTheme="minorEastAsia" w:hAnsiTheme="minorEastAsia" w:eastAsiaTheme="minorEastAsia" w:cstheme="minorEastAsia"/>
          <w:b w:val="0"/>
          <w:bCs w:val="0"/>
          <w:color w:val="auto"/>
          <w:kern w:val="0"/>
          <w:sz w:val="24"/>
          <w:szCs w:val="24"/>
          <w:highlight w:val="none"/>
          <w:lang w:bidi="ar"/>
        </w:rPr>
        <w:t>万元，</w:t>
      </w:r>
      <w:r>
        <w:rPr>
          <w:rFonts w:hint="eastAsia" w:asciiTheme="minorEastAsia" w:hAnsiTheme="minorEastAsia" w:eastAsiaTheme="minorEastAsia" w:cstheme="minorEastAsia"/>
          <w:b w:val="0"/>
          <w:bCs w:val="0"/>
          <w:color w:val="auto"/>
          <w:kern w:val="0"/>
          <w:sz w:val="24"/>
          <w:szCs w:val="24"/>
          <w:highlight w:val="none"/>
          <w:lang w:val="en-US" w:eastAsia="zh-CN" w:bidi="ar"/>
        </w:rPr>
        <w:t>全年</w:t>
      </w:r>
      <w:r>
        <w:rPr>
          <w:rFonts w:hint="eastAsia" w:asciiTheme="minorEastAsia" w:hAnsiTheme="minorEastAsia" w:eastAsiaTheme="minorEastAsia" w:cstheme="minorEastAsia"/>
          <w:b w:val="0"/>
          <w:bCs w:val="0"/>
          <w:color w:val="auto"/>
          <w:kern w:val="0"/>
          <w:sz w:val="24"/>
          <w:szCs w:val="24"/>
          <w:highlight w:val="none"/>
          <w:lang w:bidi="ar"/>
        </w:rPr>
        <w:t>预算调整是年初预算的</w:t>
      </w:r>
      <w:r>
        <w:rPr>
          <w:rFonts w:hint="eastAsia" w:asciiTheme="minorEastAsia" w:hAnsiTheme="minorEastAsia" w:eastAsiaTheme="minorEastAsia" w:cstheme="minorEastAsia"/>
          <w:b w:val="0"/>
          <w:bCs w:val="0"/>
          <w:color w:val="auto"/>
          <w:kern w:val="0"/>
          <w:sz w:val="24"/>
          <w:szCs w:val="24"/>
          <w:highlight w:val="none"/>
          <w:lang w:val="en-US" w:eastAsia="zh-CN" w:bidi="ar"/>
        </w:rPr>
        <w:t>4.10</w:t>
      </w:r>
      <w:r>
        <w:rPr>
          <w:rFonts w:hint="eastAsia" w:asciiTheme="minorEastAsia" w:hAnsiTheme="minorEastAsia" w:eastAsiaTheme="minorEastAsia" w:cstheme="minorEastAsia"/>
          <w:b w:val="0"/>
          <w:bCs w:val="0"/>
          <w:color w:val="auto"/>
          <w:kern w:val="0"/>
          <w:sz w:val="24"/>
          <w:szCs w:val="24"/>
          <w:highlight w:val="none"/>
          <w:lang w:bidi="ar"/>
        </w:rPr>
        <w:t>倍</w:t>
      </w:r>
      <w:r>
        <w:rPr>
          <w:rFonts w:hint="eastAsia" w:asciiTheme="minorEastAsia" w:hAnsiTheme="minorEastAsia" w:eastAsiaTheme="minorEastAsia" w:cstheme="minorEastAsia"/>
          <w:b w:val="0"/>
          <w:bCs w:val="0"/>
          <w:color w:val="auto"/>
          <w:kern w:val="0"/>
          <w:sz w:val="24"/>
          <w:szCs w:val="24"/>
          <w:highlight w:val="none"/>
          <w:lang w:eastAsia="zh-CN" w:bidi="ar"/>
        </w:rPr>
        <w:t>，</w:t>
      </w:r>
      <w:r>
        <w:rPr>
          <w:rFonts w:hint="eastAsia" w:asciiTheme="minorEastAsia" w:hAnsiTheme="minorEastAsia" w:eastAsiaTheme="minorEastAsia" w:cstheme="minorEastAsia"/>
          <w:b w:val="0"/>
          <w:bCs w:val="0"/>
          <w:color w:val="auto"/>
          <w:kern w:val="0"/>
          <w:sz w:val="24"/>
          <w:szCs w:val="24"/>
          <w:highlight w:val="none"/>
          <w:lang w:val="en-US" w:eastAsia="zh-CN" w:bidi="ar"/>
        </w:rPr>
        <w:t>相比2021年更是增加差距</w:t>
      </w:r>
      <w:r>
        <w:rPr>
          <w:rFonts w:hint="eastAsia" w:asciiTheme="minorEastAsia" w:hAnsiTheme="minorEastAsia" w:eastAsiaTheme="minorEastAsia" w:cstheme="minorEastAsia"/>
          <w:b w:val="0"/>
          <w:bCs w:val="0"/>
          <w:color w:val="auto"/>
          <w:kern w:val="0"/>
          <w:sz w:val="24"/>
          <w:szCs w:val="24"/>
          <w:highlight w:val="none"/>
          <w:lang w:bidi="ar"/>
        </w:rPr>
        <w:t>，</w:t>
      </w:r>
      <w:r>
        <w:rPr>
          <w:rFonts w:hint="eastAsia" w:asciiTheme="minorEastAsia" w:hAnsiTheme="minorEastAsia" w:eastAsiaTheme="minorEastAsia" w:cstheme="minorEastAsia"/>
          <w:b w:val="0"/>
          <w:bCs w:val="0"/>
          <w:color w:val="auto"/>
          <w:kern w:val="0"/>
          <w:sz w:val="24"/>
          <w:szCs w:val="24"/>
          <w:highlight w:val="none"/>
          <w:lang w:val="en-US" w:eastAsia="zh-CN" w:bidi="ar"/>
        </w:rPr>
        <w:t>年初</w:t>
      </w:r>
      <w:r>
        <w:rPr>
          <w:rFonts w:hint="eastAsia" w:asciiTheme="minorEastAsia" w:hAnsiTheme="minorEastAsia" w:eastAsiaTheme="minorEastAsia" w:cstheme="minorEastAsia"/>
          <w:b w:val="0"/>
          <w:bCs w:val="0"/>
          <w:color w:val="auto"/>
          <w:kern w:val="0"/>
          <w:sz w:val="24"/>
          <w:szCs w:val="24"/>
          <w:highlight w:val="none"/>
          <w:lang w:eastAsia="zh-CN" w:bidi="ar"/>
        </w:rPr>
        <w:t>预算</w:t>
      </w:r>
      <w:r>
        <w:rPr>
          <w:rFonts w:hint="eastAsia" w:asciiTheme="minorEastAsia" w:hAnsiTheme="minorEastAsia" w:eastAsiaTheme="minorEastAsia" w:cstheme="minorEastAsia"/>
          <w:b w:val="0"/>
          <w:bCs w:val="0"/>
          <w:color w:val="auto"/>
          <w:kern w:val="0"/>
          <w:sz w:val="24"/>
          <w:szCs w:val="24"/>
          <w:highlight w:val="none"/>
          <w:lang w:val="en-US" w:eastAsia="zh-CN" w:bidi="ar"/>
        </w:rPr>
        <w:t>与年终决算差异很大</w:t>
      </w:r>
      <w:r>
        <w:rPr>
          <w:rFonts w:hint="eastAsia" w:asciiTheme="minorEastAsia" w:hAnsiTheme="minorEastAsia" w:eastAsiaTheme="minorEastAsia" w:cstheme="minorEastAsia"/>
          <w:b w:val="0"/>
          <w:bCs w:val="0"/>
          <w:color w:val="auto"/>
          <w:kern w:val="0"/>
          <w:sz w:val="24"/>
          <w:szCs w:val="24"/>
          <w:highlight w:val="none"/>
          <w:lang w:eastAsia="zh-CN" w:bidi="ar"/>
        </w:rPr>
        <w:t>。</w:t>
      </w:r>
      <w:r>
        <w:rPr>
          <w:rFonts w:hint="eastAsia" w:asciiTheme="minorEastAsia" w:hAnsiTheme="minorEastAsia" w:eastAsiaTheme="minorEastAsia" w:cstheme="minorEastAsia"/>
          <w:b w:val="0"/>
          <w:bCs w:val="0"/>
          <w:color w:val="auto"/>
          <w:kern w:val="0"/>
          <w:sz w:val="24"/>
          <w:szCs w:val="24"/>
          <w:highlight w:val="none"/>
          <w:lang w:val="en-US" w:eastAsia="zh-CN" w:bidi="ar"/>
        </w:rPr>
        <w:t>虽然</w:t>
      </w:r>
      <w:r>
        <w:rPr>
          <w:rFonts w:hint="eastAsia" w:asciiTheme="minorEastAsia" w:hAnsiTheme="minorEastAsia" w:eastAsiaTheme="minorEastAsia" w:cstheme="minorEastAsia"/>
          <w:b w:val="0"/>
          <w:bCs w:val="0"/>
          <w:color w:val="auto"/>
          <w:kern w:val="0"/>
          <w:sz w:val="24"/>
          <w:szCs w:val="24"/>
          <w:highlight w:val="none"/>
          <w:lang w:eastAsia="zh-CN" w:bidi="ar"/>
        </w:rPr>
        <w:t>由于年初对部分工作的不可预见性，在执行的过程中对部分项目内容进行调整，</w:t>
      </w:r>
      <w:r>
        <w:rPr>
          <w:rFonts w:hint="eastAsia" w:asciiTheme="minorEastAsia" w:hAnsiTheme="minorEastAsia" w:eastAsiaTheme="minorEastAsia" w:cstheme="minorEastAsia"/>
          <w:b w:val="0"/>
          <w:bCs w:val="0"/>
          <w:color w:val="auto"/>
          <w:kern w:val="0"/>
          <w:sz w:val="24"/>
          <w:szCs w:val="24"/>
          <w:highlight w:val="none"/>
          <w:lang w:val="en-US" w:eastAsia="zh-CN" w:bidi="ar"/>
        </w:rPr>
        <w:t xml:space="preserve">但是调整幅度过大。 </w:t>
      </w:r>
    </w:p>
    <w:p>
      <w:pPr>
        <w:spacing w:before="183" w:beforeLines="50" w:line="580" w:lineRule="exact"/>
        <w:ind w:firstLine="480" w:firstLineChars="200"/>
        <w:outlineLvl w:val="0"/>
        <w:rPr>
          <w:rFonts w:hint="eastAsia" w:asciiTheme="minorEastAsia" w:hAnsiTheme="minorEastAsia" w:eastAsiaTheme="minorEastAsia" w:cstheme="minorEastAsia"/>
          <w:b w:val="0"/>
          <w:bCs w:val="0"/>
          <w:color w:val="auto"/>
          <w:kern w:val="0"/>
          <w:sz w:val="24"/>
          <w:szCs w:val="24"/>
          <w:highlight w:val="none"/>
          <w:lang w:eastAsia="zh-CN" w:bidi="ar"/>
        </w:rPr>
      </w:pPr>
      <w:r>
        <w:rPr>
          <w:rFonts w:hint="eastAsia" w:asciiTheme="minorEastAsia" w:hAnsiTheme="minorEastAsia" w:eastAsiaTheme="minorEastAsia" w:cstheme="minorEastAsia"/>
          <w:b w:val="0"/>
          <w:bCs w:val="0"/>
          <w:color w:val="auto"/>
          <w:kern w:val="0"/>
          <w:sz w:val="24"/>
          <w:szCs w:val="24"/>
          <w:highlight w:val="none"/>
          <w:lang w:eastAsia="zh-CN" w:bidi="ar"/>
        </w:rPr>
        <w:t>（</w:t>
      </w:r>
      <w:r>
        <w:rPr>
          <w:rFonts w:hint="eastAsia" w:asciiTheme="minorEastAsia" w:hAnsiTheme="minorEastAsia" w:eastAsiaTheme="minorEastAsia" w:cstheme="minorEastAsia"/>
          <w:b w:val="0"/>
          <w:bCs w:val="0"/>
          <w:color w:val="auto"/>
          <w:kern w:val="0"/>
          <w:sz w:val="24"/>
          <w:szCs w:val="24"/>
          <w:highlight w:val="none"/>
          <w:lang w:val="en-US" w:eastAsia="zh-CN" w:bidi="ar"/>
        </w:rPr>
        <w:t>2</w:t>
      </w:r>
      <w:r>
        <w:rPr>
          <w:rFonts w:hint="eastAsia" w:asciiTheme="minorEastAsia" w:hAnsiTheme="minorEastAsia" w:eastAsiaTheme="minorEastAsia" w:cstheme="minorEastAsia"/>
          <w:b w:val="0"/>
          <w:bCs w:val="0"/>
          <w:color w:val="auto"/>
          <w:kern w:val="0"/>
          <w:sz w:val="24"/>
          <w:szCs w:val="24"/>
          <w:highlight w:val="none"/>
          <w:lang w:eastAsia="zh-CN" w:bidi="ar"/>
        </w:rPr>
        <w:t>）本部门202</w:t>
      </w:r>
      <w:r>
        <w:rPr>
          <w:rFonts w:hint="eastAsia" w:asciiTheme="minorEastAsia" w:hAnsiTheme="minorEastAsia" w:eastAsiaTheme="minorEastAsia" w:cstheme="minorEastAsia"/>
          <w:b w:val="0"/>
          <w:bCs w:val="0"/>
          <w:color w:val="auto"/>
          <w:kern w:val="0"/>
          <w:sz w:val="24"/>
          <w:szCs w:val="24"/>
          <w:highlight w:val="none"/>
          <w:lang w:val="en-US" w:eastAsia="zh-CN" w:bidi="ar"/>
        </w:rPr>
        <w:t>1</w:t>
      </w:r>
      <w:r>
        <w:rPr>
          <w:rFonts w:hint="eastAsia" w:asciiTheme="minorEastAsia" w:hAnsiTheme="minorEastAsia" w:eastAsiaTheme="minorEastAsia" w:cstheme="minorEastAsia"/>
          <w:b w:val="0"/>
          <w:bCs w:val="0"/>
          <w:color w:val="auto"/>
          <w:kern w:val="0"/>
          <w:sz w:val="24"/>
          <w:szCs w:val="24"/>
          <w:highlight w:val="none"/>
          <w:lang w:eastAsia="zh-CN" w:bidi="ar"/>
        </w:rPr>
        <w:t>年整体资金支出较20</w:t>
      </w:r>
      <w:r>
        <w:rPr>
          <w:rFonts w:hint="eastAsia" w:asciiTheme="minorEastAsia" w:hAnsiTheme="minorEastAsia" w:eastAsiaTheme="minorEastAsia" w:cstheme="minorEastAsia"/>
          <w:b w:val="0"/>
          <w:bCs w:val="0"/>
          <w:color w:val="auto"/>
          <w:kern w:val="0"/>
          <w:sz w:val="24"/>
          <w:szCs w:val="24"/>
          <w:highlight w:val="none"/>
          <w:lang w:val="en-US" w:eastAsia="zh-CN" w:bidi="ar"/>
        </w:rPr>
        <w:t>20</w:t>
      </w:r>
      <w:r>
        <w:rPr>
          <w:rFonts w:hint="eastAsia" w:asciiTheme="minorEastAsia" w:hAnsiTheme="minorEastAsia" w:eastAsiaTheme="minorEastAsia" w:cstheme="minorEastAsia"/>
          <w:b w:val="0"/>
          <w:bCs w:val="0"/>
          <w:color w:val="auto"/>
          <w:kern w:val="0"/>
          <w:sz w:val="24"/>
          <w:szCs w:val="24"/>
          <w:highlight w:val="none"/>
          <w:lang w:eastAsia="zh-CN" w:bidi="ar"/>
        </w:rPr>
        <w:t>年增加891.67万元，提高12.75%，但基本支出减少319.92万元，降低11.55%。主要是油物资储备等项目增加。本部门年初预算安排公用经费总额292.62万元，实际支出公用经费总额373.5万元，公用经费控制率为1.27倍。两项指标均未达标，影响本部门本年绩效评分和评价等级。</w:t>
      </w:r>
    </w:p>
    <w:p>
      <w:pPr>
        <w:spacing w:before="183" w:beforeLines="50" w:line="580" w:lineRule="exact"/>
        <w:ind w:firstLine="241" w:firstLineChars="100"/>
        <w:outlineLvl w:val="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lang w:val="en-US" w:eastAsia="zh-CN"/>
        </w:rPr>
        <w:t>3.</w:t>
      </w:r>
      <w:r>
        <w:rPr>
          <w:rFonts w:hint="eastAsia" w:asciiTheme="minorEastAsia" w:hAnsiTheme="minorEastAsia" w:eastAsiaTheme="minorEastAsia" w:cstheme="minorEastAsia"/>
          <w:b/>
          <w:color w:val="auto"/>
          <w:sz w:val="24"/>
          <w:szCs w:val="24"/>
          <w:highlight w:val="none"/>
        </w:rPr>
        <w:t>下一步改进措施</w:t>
      </w:r>
    </w:p>
    <w:p>
      <w:pPr>
        <w:spacing w:line="54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加强绩效管理，完善绩效考核制度，逐步</w:t>
      </w:r>
      <w:r>
        <w:rPr>
          <w:rFonts w:hint="eastAsia" w:asciiTheme="minorEastAsia" w:hAnsiTheme="minorEastAsia" w:eastAsiaTheme="minorEastAsia" w:cstheme="minorEastAsia"/>
          <w:color w:val="auto"/>
          <w:sz w:val="24"/>
          <w:szCs w:val="24"/>
          <w:highlight w:val="none"/>
          <w:lang w:val="en-US" w:eastAsia="zh-CN"/>
        </w:rPr>
        <w:t>完善</w:t>
      </w:r>
      <w:r>
        <w:rPr>
          <w:rFonts w:hint="eastAsia" w:asciiTheme="minorEastAsia" w:hAnsiTheme="minorEastAsia" w:eastAsiaTheme="minorEastAsia" w:cstheme="minorEastAsia"/>
          <w:color w:val="auto"/>
          <w:sz w:val="24"/>
          <w:szCs w:val="24"/>
          <w:highlight w:val="none"/>
        </w:rPr>
        <w:t>工业和信息化系统绩效评价</w:t>
      </w:r>
      <w:r>
        <w:rPr>
          <w:rFonts w:hint="eastAsia" w:asciiTheme="minorEastAsia" w:hAnsiTheme="minorEastAsia" w:eastAsiaTheme="minorEastAsia" w:cstheme="minorEastAsia"/>
          <w:color w:val="auto"/>
          <w:sz w:val="24"/>
          <w:szCs w:val="24"/>
          <w:highlight w:val="none"/>
          <w:lang w:val="en-US" w:eastAsia="zh-CN"/>
        </w:rPr>
        <w:t>指标体系</w:t>
      </w:r>
      <w:r>
        <w:rPr>
          <w:rFonts w:hint="eastAsia" w:asciiTheme="minorEastAsia" w:hAnsiTheme="minorEastAsia" w:eastAsiaTheme="minorEastAsia" w:cstheme="minorEastAsia"/>
          <w:color w:val="auto"/>
          <w:sz w:val="24"/>
          <w:szCs w:val="24"/>
          <w:highlight w:val="none"/>
        </w:rPr>
        <w:t>，全面、真实、科学地反映了工业和信息化行业预算支出绩效指标。</w:t>
      </w:r>
    </w:p>
    <w:p>
      <w:pPr>
        <w:spacing w:line="58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持续</w:t>
      </w:r>
      <w:r>
        <w:rPr>
          <w:rFonts w:hint="eastAsia" w:asciiTheme="minorEastAsia" w:hAnsiTheme="minorEastAsia" w:eastAsiaTheme="minorEastAsia" w:cstheme="minorEastAsia"/>
          <w:color w:val="auto"/>
          <w:sz w:val="24"/>
          <w:szCs w:val="24"/>
          <w:highlight w:val="none"/>
          <w:lang w:eastAsia="zh-CN"/>
        </w:rPr>
        <w:t>加强预算管理意识，</w:t>
      </w:r>
      <w:r>
        <w:rPr>
          <w:rFonts w:hint="eastAsia" w:asciiTheme="minorEastAsia" w:hAnsiTheme="minorEastAsia" w:eastAsiaTheme="minorEastAsia" w:cstheme="minorEastAsia"/>
          <w:color w:val="auto"/>
          <w:sz w:val="24"/>
          <w:szCs w:val="24"/>
          <w:highlight w:val="none"/>
        </w:rPr>
        <w:t>强化</w:t>
      </w:r>
      <w:r>
        <w:rPr>
          <w:rFonts w:hint="eastAsia" w:asciiTheme="minorEastAsia" w:hAnsiTheme="minorEastAsia" w:eastAsiaTheme="minorEastAsia" w:cstheme="minorEastAsia"/>
          <w:color w:val="auto"/>
          <w:sz w:val="24"/>
          <w:szCs w:val="24"/>
          <w:highlight w:val="none"/>
          <w:lang w:val="en-US" w:eastAsia="zh-CN"/>
        </w:rPr>
        <w:t>全员</w:t>
      </w:r>
      <w:r>
        <w:rPr>
          <w:rFonts w:hint="eastAsia" w:asciiTheme="minorEastAsia" w:hAnsiTheme="minorEastAsia" w:eastAsiaTheme="minorEastAsia" w:cstheme="minorEastAsia"/>
          <w:color w:val="auto"/>
          <w:sz w:val="24"/>
          <w:szCs w:val="24"/>
          <w:highlight w:val="none"/>
        </w:rPr>
        <w:t>预算</w:t>
      </w:r>
      <w:r>
        <w:rPr>
          <w:rFonts w:hint="eastAsia" w:asciiTheme="minorEastAsia" w:hAnsiTheme="minorEastAsia" w:eastAsiaTheme="minorEastAsia" w:cstheme="minorEastAsia"/>
          <w:color w:val="auto"/>
          <w:sz w:val="24"/>
          <w:szCs w:val="24"/>
          <w:highlight w:val="none"/>
          <w:lang w:val="en-US" w:eastAsia="zh-CN"/>
        </w:rPr>
        <w:t>意识</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做到</w:t>
      </w:r>
      <w:r>
        <w:rPr>
          <w:rFonts w:hint="eastAsia" w:asciiTheme="minorEastAsia" w:hAnsiTheme="minorEastAsia" w:eastAsiaTheme="minorEastAsia" w:cstheme="minorEastAsia"/>
          <w:color w:val="auto"/>
          <w:sz w:val="24"/>
          <w:szCs w:val="24"/>
          <w:highlight w:val="none"/>
        </w:rPr>
        <w:t>事前必编预算，</w:t>
      </w:r>
      <w:r>
        <w:rPr>
          <w:rFonts w:hint="eastAsia" w:asciiTheme="minorEastAsia" w:hAnsiTheme="minorEastAsia" w:eastAsiaTheme="minorEastAsia" w:cstheme="minorEastAsia"/>
          <w:color w:val="auto"/>
          <w:sz w:val="24"/>
          <w:szCs w:val="24"/>
          <w:highlight w:val="none"/>
          <w:lang w:val="en-US" w:eastAsia="zh-CN"/>
        </w:rPr>
        <w:t>事中严格</w:t>
      </w:r>
      <w:r>
        <w:rPr>
          <w:rFonts w:hint="eastAsia" w:asciiTheme="minorEastAsia" w:hAnsiTheme="minorEastAsia" w:eastAsiaTheme="minorEastAsia" w:cstheme="minorEastAsia"/>
          <w:color w:val="auto"/>
          <w:sz w:val="24"/>
          <w:szCs w:val="24"/>
          <w:highlight w:val="none"/>
        </w:rPr>
        <w:t>控制经费使用，</w:t>
      </w:r>
      <w:r>
        <w:rPr>
          <w:rFonts w:hint="eastAsia" w:asciiTheme="minorEastAsia" w:hAnsiTheme="minorEastAsia" w:eastAsiaTheme="minorEastAsia" w:cstheme="minorEastAsia"/>
          <w:color w:val="auto"/>
          <w:sz w:val="24"/>
          <w:szCs w:val="24"/>
          <w:highlight w:val="none"/>
          <w:lang w:val="en-US" w:eastAsia="zh-CN"/>
        </w:rPr>
        <w:t>事后</w:t>
      </w:r>
      <w:r>
        <w:rPr>
          <w:rFonts w:hint="eastAsia" w:asciiTheme="minorEastAsia" w:hAnsiTheme="minorEastAsia" w:eastAsiaTheme="minorEastAsia" w:cstheme="minorEastAsia"/>
          <w:color w:val="auto"/>
          <w:sz w:val="24"/>
          <w:szCs w:val="24"/>
          <w:highlight w:val="none"/>
        </w:rPr>
        <w:t>绩效</w:t>
      </w:r>
      <w:r>
        <w:rPr>
          <w:rFonts w:hint="eastAsia" w:asciiTheme="minorEastAsia" w:hAnsiTheme="minorEastAsia" w:eastAsiaTheme="minorEastAsia" w:cstheme="minorEastAsia"/>
          <w:color w:val="auto"/>
          <w:sz w:val="24"/>
          <w:szCs w:val="24"/>
          <w:highlight w:val="none"/>
          <w:lang w:val="en-US" w:eastAsia="zh-CN"/>
        </w:rPr>
        <w:t>管理</w:t>
      </w:r>
      <w:r>
        <w:rPr>
          <w:rFonts w:hint="eastAsia" w:asciiTheme="minorEastAsia" w:hAnsiTheme="minorEastAsia" w:eastAsiaTheme="minorEastAsia" w:cstheme="minorEastAsia"/>
          <w:color w:val="auto"/>
          <w:sz w:val="24"/>
          <w:szCs w:val="24"/>
          <w:highlight w:val="none"/>
        </w:rPr>
        <w:t>，将绩效管理贯穿于预算编制、执行及决算等</w:t>
      </w:r>
      <w:r>
        <w:rPr>
          <w:rFonts w:hint="eastAsia" w:asciiTheme="minorEastAsia" w:hAnsiTheme="minorEastAsia" w:eastAsiaTheme="minorEastAsia" w:cstheme="minorEastAsia"/>
          <w:color w:val="auto"/>
          <w:sz w:val="24"/>
          <w:szCs w:val="24"/>
          <w:highlight w:val="none"/>
          <w:lang w:val="en-US" w:eastAsia="zh-CN"/>
        </w:rPr>
        <w:t>全过程</w:t>
      </w:r>
      <w:r>
        <w:rPr>
          <w:rFonts w:hint="eastAsia" w:asciiTheme="minorEastAsia" w:hAnsiTheme="minorEastAsia" w:eastAsiaTheme="minorEastAsia" w:cstheme="minorEastAsia"/>
          <w:color w:val="auto"/>
          <w:sz w:val="24"/>
          <w:szCs w:val="24"/>
          <w:highlight w:val="none"/>
          <w:lang w:eastAsia="zh-CN"/>
        </w:rPr>
        <w:t>；</w:t>
      </w:r>
    </w:p>
    <w:p>
      <w:pPr>
        <w:spacing w:line="540" w:lineRule="exact"/>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持续加强预算监督监察，完善绩效考核制度</w:t>
      </w:r>
      <w:r>
        <w:rPr>
          <w:rFonts w:hint="eastAsia" w:asciiTheme="minorEastAsia" w:hAnsiTheme="minorEastAsia" w:eastAsiaTheme="minorEastAsia" w:cstheme="minorEastAsia"/>
          <w:color w:val="auto"/>
          <w:sz w:val="24"/>
          <w:szCs w:val="24"/>
          <w:highlight w:val="none"/>
          <w:lang w:eastAsia="zh-CN"/>
        </w:rPr>
        <w:t>，逐步形成工业和信息化系统绩效评价</w:t>
      </w:r>
      <w:r>
        <w:rPr>
          <w:rFonts w:hint="eastAsia" w:asciiTheme="minorEastAsia" w:hAnsiTheme="minorEastAsia" w:eastAsiaTheme="minorEastAsia" w:cstheme="minorEastAsia"/>
          <w:color w:val="auto"/>
          <w:sz w:val="24"/>
          <w:szCs w:val="24"/>
          <w:highlight w:val="none"/>
          <w:lang w:val="en-US" w:eastAsia="zh-CN"/>
        </w:rPr>
        <w:t>机制</w:t>
      </w:r>
      <w:r>
        <w:rPr>
          <w:rFonts w:hint="eastAsia" w:asciiTheme="minorEastAsia" w:hAnsiTheme="minorEastAsia" w:eastAsiaTheme="minorEastAsia" w:cstheme="minorEastAsia"/>
          <w:color w:val="auto"/>
          <w:sz w:val="24"/>
          <w:szCs w:val="24"/>
          <w:highlight w:val="none"/>
          <w:lang w:eastAsia="zh-CN"/>
        </w:rPr>
        <w:t>，提高财政资金使用效益。</w:t>
      </w:r>
    </w:p>
    <w:p>
      <w:pPr>
        <w:spacing w:before="183" w:beforeLines="50" w:after="183" w:afterLines="50" w:line="600" w:lineRule="exac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val="en-US" w:eastAsia="zh-CN"/>
        </w:rPr>
        <w:t>九、</w:t>
      </w:r>
      <w:r>
        <w:rPr>
          <w:rFonts w:hint="eastAsia" w:asciiTheme="minorEastAsia" w:hAnsiTheme="minorEastAsia" w:eastAsiaTheme="minorEastAsia" w:cstheme="minorEastAsia"/>
          <w:b/>
          <w:bCs/>
          <w:color w:val="auto"/>
          <w:sz w:val="24"/>
          <w:szCs w:val="24"/>
          <w:highlight w:val="none"/>
        </w:rPr>
        <w:t>有关建议</w:t>
      </w:r>
    </w:p>
    <w:p>
      <w:pPr>
        <w:widowControl/>
        <w:spacing w:before="183" w:beforeLines="50" w:line="580" w:lineRule="exact"/>
        <w:ind w:firstLine="480" w:firstLineChars="200"/>
        <w:outlineLvl w:val="0"/>
        <w:rPr>
          <w:rFonts w:hint="eastAsia" w:asciiTheme="minorEastAsia" w:hAnsiTheme="minorEastAsia" w:eastAsiaTheme="minorEastAsia" w:cstheme="minorEastAsia"/>
          <w:color w:val="auto"/>
          <w:kern w:val="0"/>
          <w:sz w:val="24"/>
          <w:szCs w:val="24"/>
          <w:highlight w:val="none"/>
          <w:lang w:bidi="ar"/>
        </w:rPr>
      </w:pPr>
      <w:r>
        <w:rPr>
          <w:rFonts w:hint="eastAsia" w:asciiTheme="minorEastAsia" w:hAnsiTheme="minorEastAsia" w:eastAsiaTheme="minorEastAsia" w:cstheme="minorEastAsia"/>
          <w:color w:val="auto"/>
          <w:kern w:val="0"/>
          <w:sz w:val="24"/>
          <w:szCs w:val="24"/>
          <w:highlight w:val="none"/>
          <w:lang w:val="en-US" w:eastAsia="zh-CN" w:bidi="ar"/>
        </w:rPr>
        <w:t>希望</w:t>
      </w:r>
      <w:r>
        <w:rPr>
          <w:rFonts w:hint="eastAsia" w:asciiTheme="minorEastAsia" w:hAnsiTheme="minorEastAsia" w:eastAsiaTheme="minorEastAsia" w:cstheme="minorEastAsia"/>
          <w:color w:val="auto"/>
          <w:kern w:val="0"/>
          <w:sz w:val="24"/>
          <w:szCs w:val="24"/>
          <w:highlight w:val="none"/>
          <w:lang w:bidi="ar"/>
        </w:rPr>
        <w:t>加强对各</w:t>
      </w:r>
      <w:r>
        <w:rPr>
          <w:rFonts w:hint="eastAsia" w:asciiTheme="minorEastAsia" w:hAnsiTheme="minorEastAsia" w:eastAsiaTheme="minorEastAsia" w:cstheme="minorEastAsia"/>
          <w:color w:val="auto"/>
          <w:kern w:val="0"/>
          <w:sz w:val="24"/>
          <w:szCs w:val="24"/>
          <w:highlight w:val="none"/>
          <w:lang w:val="en-US" w:eastAsia="zh-CN" w:bidi="ar"/>
        </w:rPr>
        <w:t>单位（部门）绩效信息系统的</w:t>
      </w:r>
      <w:r>
        <w:rPr>
          <w:rFonts w:hint="eastAsia" w:asciiTheme="minorEastAsia" w:hAnsiTheme="minorEastAsia" w:eastAsiaTheme="minorEastAsia" w:cstheme="minorEastAsia"/>
          <w:color w:val="auto"/>
          <w:kern w:val="0"/>
          <w:sz w:val="24"/>
          <w:szCs w:val="24"/>
          <w:highlight w:val="none"/>
          <w:lang w:bidi="ar"/>
        </w:rPr>
        <w:t>指导或培训</w:t>
      </w:r>
      <w:r>
        <w:rPr>
          <w:rFonts w:hint="eastAsia" w:asciiTheme="minorEastAsia" w:hAnsiTheme="minorEastAsia" w:eastAsiaTheme="minorEastAsia" w:cstheme="minorEastAsia"/>
          <w:color w:val="auto"/>
          <w:kern w:val="0"/>
          <w:sz w:val="24"/>
          <w:szCs w:val="24"/>
          <w:highlight w:val="none"/>
          <w:lang w:val="en-US" w:eastAsia="zh-CN" w:bidi="ar"/>
        </w:rPr>
        <w:t>，开展</w:t>
      </w:r>
      <w:r>
        <w:rPr>
          <w:rFonts w:hint="eastAsia" w:asciiTheme="minorEastAsia" w:hAnsiTheme="minorEastAsia" w:eastAsiaTheme="minorEastAsia" w:cstheme="minorEastAsia"/>
          <w:color w:val="auto"/>
          <w:kern w:val="0"/>
          <w:sz w:val="24"/>
          <w:szCs w:val="24"/>
          <w:highlight w:val="none"/>
          <w:lang w:bidi="ar"/>
        </w:rPr>
        <w:t>有针对性地</w:t>
      </w:r>
      <w:r>
        <w:rPr>
          <w:rFonts w:hint="eastAsia" w:asciiTheme="minorEastAsia" w:hAnsiTheme="minorEastAsia" w:eastAsiaTheme="minorEastAsia" w:cstheme="minorEastAsia"/>
          <w:color w:val="auto"/>
          <w:kern w:val="0"/>
          <w:sz w:val="24"/>
          <w:szCs w:val="24"/>
          <w:highlight w:val="none"/>
          <w:lang w:val="en-US" w:eastAsia="zh-CN" w:bidi="ar"/>
        </w:rPr>
        <w:t>培训</w:t>
      </w:r>
      <w:r>
        <w:rPr>
          <w:rFonts w:hint="eastAsia" w:asciiTheme="minorEastAsia" w:hAnsiTheme="minorEastAsia" w:eastAsiaTheme="minorEastAsia" w:cstheme="minorEastAsia"/>
          <w:color w:val="auto"/>
          <w:kern w:val="0"/>
          <w:sz w:val="24"/>
          <w:szCs w:val="24"/>
          <w:highlight w:val="none"/>
          <w:lang w:bidi="ar"/>
        </w:rPr>
        <w:t>，</w:t>
      </w:r>
      <w:r>
        <w:rPr>
          <w:rFonts w:hint="eastAsia" w:asciiTheme="minorEastAsia" w:hAnsiTheme="minorEastAsia" w:eastAsiaTheme="minorEastAsia" w:cstheme="minorEastAsia"/>
          <w:color w:val="auto"/>
          <w:kern w:val="0"/>
          <w:sz w:val="24"/>
          <w:szCs w:val="24"/>
          <w:highlight w:val="none"/>
          <w:lang w:val="en-US" w:eastAsia="zh-CN" w:bidi="ar"/>
        </w:rPr>
        <w:t>指导</w:t>
      </w:r>
      <w:r>
        <w:rPr>
          <w:rFonts w:hint="eastAsia" w:asciiTheme="minorEastAsia" w:hAnsiTheme="minorEastAsia" w:eastAsiaTheme="minorEastAsia" w:cstheme="minorEastAsia"/>
          <w:color w:val="auto"/>
          <w:kern w:val="0"/>
          <w:sz w:val="24"/>
          <w:szCs w:val="24"/>
          <w:highlight w:val="none"/>
          <w:lang w:bidi="ar"/>
        </w:rPr>
        <w:t>完善各单位的绩效指标</w:t>
      </w:r>
      <w:r>
        <w:rPr>
          <w:rFonts w:hint="eastAsia" w:asciiTheme="minorEastAsia" w:hAnsiTheme="minorEastAsia" w:eastAsiaTheme="minorEastAsia" w:cstheme="minorEastAsia"/>
          <w:color w:val="auto"/>
          <w:kern w:val="0"/>
          <w:sz w:val="24"/>
          <w:szCs w:val="24"/>
          <w:highlight w:val="none"/>
          <w:lang w:val="en-US" w:eastAsia="zh-CN" w:bidi="ar"/>
        </w:rPr>
        <w:t>体系</w:t>
      </w:r>
      <w:r>
        <w:rPr>
          <w:rFonts w:hint="eastAsia" w:asciiTheme="minorEastAsia" w:hAnsiTheme="minorEastAsia" w:eastAsiaTheme="minorEastAsia" w:cstheme="minorEastAsia"/>
          <w:color w:val="auto"/>
          <w:kern w:val="0"/>
          <w:sz w:val="24"/>
          <w:szCs w:val="24"/>
          <w:highlight w:val="none"/>
          <w:lang w:bidi="ar"/>
        </w:rPr>
        <w:t>，使</w:t>
      </w:r>
      <w:r>
        <w:rPr>
          <w:rFonts w:hint="eastAsia" w:asciiTheme="minorEastAsia" w:hAnsiTheme="minorEastAsia" w:eastAsiaTheme="minorEastAsia" w:cstheme="minorEastAsia"/>
          <w:color w:val="auto"/>
          <w:kern w:val="0"/>
          <w:sz w:val="24"/>
          <w:szCs w:val="24"/>
          <w:highlight w:val="none"/>
          <w:lang w:val="en-US" w:eastAsia="zh-CN" w:bidi="ar"/>
        </w:rPr>
        <w:t>各行业</w:t>
      </w:r>
      <w:r>
        <w:rPr>
          <w:rFonts w:hint="eastAsia" w:asciiTheme="minorEastAsia" w:hAnsiTheme="minorEastAsia" w:eastAsiaTheme="minorEastAsia" w:cstheme="minorEastAsia"/>
          <w:color w:val="auto"/>
          <w:kern w:val="0"/>
          <w:sz w:val="24"/>
          <w:szCs w:val="24"/>
          <w:highlight w:val="none"/>
          <w:lang w:bidi="ar"/>
        </w:rPr>
        <w:t>绩效目标</w:t>
      </w:r>
      <w:r>
        <w:rPr>
          <w:rFonts w:hint="eastAsia" w:asciiTheme="minorEastAsia" w:hAnsiTheme="minorEastAsia" w:eastAsiaTheme="minorEastAsia" w:cstheme="minorEastAsia"/>
          <w:color w:val="auto"/>
          <w:kern w:val="0"/>
          <w:sz w:val="24"/>
          <w:szCs w:val="24"/>
          <w:highlight w:val="none"/>
          <w:lang w:val="en-US" w:eastAsia="zh-CN" w:bidi="ar"/>
        </w:rPr>
        <w:t>体系</w:t>
      </w:r>
      <w:r>
        <w:rPr>
          <w:rFonts w:hint="eastAsia" w:asciiTheme="minorEastAsia" w:hAnsiTheme="minorEastAsia" w:eastAsiaTheme="minorEastAsia" w:cstheme="minorEastAsia"/>
          <w:color w:val="auto"/>
          <w:kern w:val="0"/>
          <w:sz w:val="24"/>
          <w:szCs w:val="24"/>
          <w:highlight w:val="none"/>
          <w:lang w:bidi="ar"/>
        </w:rPr>
        <w:t>不断完善，</w:t>
      </w:r>
      <w:r>
        <w:rPr>
          <w:rFonts w:hint="eastAsia" w:asciiTheme="minorEastAsia" w:hAnsiTheme="minorEastAsia" w:eastAsiaTheme="minorEastAsia" w:cstheme="minorEastAsia"/>
          <w:color w:val="auto"/>
          <w:kern w:val="0"/>
          <w:sz w:val="24"/>
          <w:szCs w:val="24"/>
          <w:highlight w:val="none"/>
          <w:lang w:val="en-US" w:eastAsia="zh-CN" w:bidi="ar"/>
        </w:rPr>
        <w:t>指标</w:t>
      </w:r>
      <w:r>
        <w:rPr>
          <w:rFonts w:hint="eastAsia" w:asciiTheme="minorEastAsia" w:hAnsiTheme="minorEastAsia" w:eastAsiaTheme="minorEastAsia" w:cstheme="minorEastAsia"/>
          <w:color w:val="auto"/>
          <w:kern w:val="0"/>
          <w:sz w:val="24"/>
          <w:szCs w:val="24"/>
          <w:highlight w:val="none"/>
          <w:lang w:bidi="ar"/>
        </w:rPr>
        <w:t>设定更加</w:t>
      </w:r>
      <w:r>
        <w:rPr>
          <w:rFonts w:hint="eastAsia" w:asciiTheme="minorEastAsia" w:hAnsiTheme="minorEastAsia" w:eastAsiaTheme="minorEastAsia" w:cstheme="minorEastAsia"/>
          <w:color w:val="auto"/>
          <w:kern w:val="0"/>
          <w:sz w:val="24"/>
          <w:szCs w:val="24"/>
          <w:highlight w:val="none"/>
          <w:lang w:val="en-US" w:eastAsia="zh-CN" w:bidi="ar"/>
        </w:rPr>
        <w:t>合理</w:t>
      </w:r>
      <w:r>
        <w:rPr>
          <w:rFonts w:hint="eastAsia" w:asciiTheme="minorEastAsia" w:hAnsiTheme="minorEastAsia" w:eastAsiaTheme="minorEastAsia" w:cstheme="minorEastAsia"/>
          <w:color w:val="auto"/>
          <w:kern w:val="0"/>
          <w:sz w:val="24"/>
          <w:szCs w:val="24"/>
          <w:highlight w:val="none"/>
          <w:lang w:bidi="ar"/>
        </w:rPr>
        <w:t>，更</w:t>
      </w:r>
      <w:r>
        <w:rPr>
          <w:rFonts w:hint="eastAsia" w:asciiTheme="minorEastAsia" w:hAnsiTheme="minorEastAsia" w:eastAsiaTheme="minorEastAsia" w:cstheme="minorEastAsia"/>
          <w:color w:val="auto"/>
          <w:kern w:val="0"/>
          <w:sz w:val="24"/>
          <w:szCs w:val="24"/>
          <w:highlight w:val="none"/>
          <w:lang w:val="en-US" w:eastAsia="zh-CN" w:bidi="ar"/>
        </w:rPr>
        <w:t>贴合各单位实际</w:t>
      </w:r>
      <w:r>
        <w:rPr>
          <w:rFonts w:hint="eastAsia" w:asciiTheme="minorEastAsia" w:hAnsiTheme="minorEastAsia" w:eastAsiaTheme="minorEastAsia" w:cstheme="minorEastAsia"/>
          <w:color w:val="auto"/>
          <w:kern w:val="0"/>
          <w:sz w:val="24"/>
          <w:szCs w:val="24"/>
          <w:highlight w:val="none"/>
          <w:lang w:bidi="ar"/>
        </w:rPr>
        <w:t>，提升各</w:t>
      </w:r>
      <w:r>
        <w:rPr>
          <w:rFonts w:hint="eastAsia" w:asciiTheme="minorEastAsia" w:hAnsiTheme="minorEastAsia" w:eastAsiaTheme="minorEastAsia" w:cstheme="minorEastAsia"/>
          <w:color w:val="auto"/>
          <w:kern w:val="0"/>
          <w:sz w:val="24"/>
          <w:szCs w:val="24"/>
          <w:highlight w:val="none"/>
          <w:lang w:val="en-US" w:eastAsia="zh-CN" w:bidi="ar"/>
        </w:rPr>
        <w:t>单位（部门）</w:t>
      </w:r>
      <w:r>
        <w:rPr>
          <w:rFonts w:hint="eastAsia" w:asciiTheme="minorEastAsia" w:hAnsiTheme="minorEastAsia" w:eastAsiaTheme="minorEastAsia" w:cstheme="minorEastAsia"/>
          <w:color w:val="auto"/>
          <w:kern w:val="0"/>
          <w:sz w:val="24"/>
          <w:szCs w:val="24"/>
          <w:highlight w:val="none"/>
          <w:lang w:bidi="ar"/>
        </w:rPr>
        <w:t>绩效目标</w:t>
      </w:r>
      <w:r>
        <w:rPr>
          <w:rFonts w:hint="eastAsia" w:asciiTheme="minorEastAsia" w:hAnsiTheme="minorEastAsia" w:eastAsiaTheme="minorEastAsia" w:cstheme="minorEastAsia"/>
          <w:color w:val="auto"/>
          <w:kern w:val="0"/>
          <w:sz w:val="24"/>
          <w:szCs w:val="24"/>
          <w:highlight w:val="none"/>
          <w:lang w:val="en-US" w:eastAsia="zh-CN" w:bidi="ar"/>
        </w:rPr>
        <w:t>管理水平</w:t>
      </w:r>
      <w:r>
        <w:rPr>
          <w:rFonts w:hint="eastAsia" w:asciiTheme="minorEastAsia" w:hAnsiTheme="minorEastAsia" w:eastAsiaTheme="minorEastAsia" w:cstheme="minorEastAsia"/>
          <w:color w:val="auto"/>
          <w:kern w:val="0"/>
          <w:sz w:val="24"/>
          <w:szCs w:val="24"/>
          <w:highlight w:val="none"/>
          <w:lang w:bidi="ar"/>
        </w:rPr>
        <w:t>，实现各部门</w:t>
      </w:r>
      <w:r>
        <w:rPr>
          <w:rFonts w:hint="eastAsia" w:asciiTheme="minorEastAsia" w:hAnsiTheme="minorEastAsia" w:eastAsiaTheme="minorEastAsia" w:cstheme="minorEastAsia"/>
          <w:color w:val="auto"/>
          <w:kern w:val="0"/>
          <w:sz w:val="24"/>
          <w:szCs w:val="24"/>
          <w:highlight w:val="none"/>
          <w:lang w:val="en-US" w:eastAsia="zh-CN" w:bidi="ar"/>
        </w:rPr>
        <w:t>预算</w:t>
      </w:r>
      <w:r>
        <w:rPr>
          <w:rFonts w:hint="eastAsia" w:asciiTheme="minorEastAsia" w:hAnsiTheme="minorEastAsia" w:eastAsiaTheme="minorEastAsia" w:cstheme="minorEastAsia"/>
          <w:color w:val="auto"/>
          <w:kern w:val="0"/>
          <w:sz w:val="24"/>
          <w:szCs w:val="24"/>
          <w:highlight w:val="none"/>
          <w:lang w:bidi="ar"/>
        </w:rPr>
        <w:t>绩效的高</w:t>
      </w:r>
      <w:r>
        <w:rPr>
          <w:rFonts w:hint="eastAsia" w:asciiTheme="minorEastAsia" w:hAnsiTheme="minorEastAsia" w:eastAsiaTheme="minorEastAsia" w:cstheme="minorEastAsia"/>
          <w:color w:val="auto"/>
          <w:kern w:val="0"/>
          <w:sz w:val="24"/>
          <w:szCs w:val="24"/>
          <w:highlight w:val="none"/>
          <w:lang w:val="en-US" w:eastAsia="zh-CN" w:bidi="ar"/>
        </w:rPr>
        <w:t>质量管理</w:t>
      </w:r>
      <w:r>
        <w:rPr>
          <w:rFonts w:hint="eastAsia" w:asciiTheme="minorEastAsia" w:hAnsiTheme="minorEastAsia" w:eastAsiaTheme="minorEastAsia" w:cstheme="minorEastAsia"/>
          <w:color w:val="auto"/>
          <w:kern w:val="0"/>
          <w:sz w:val="24"/>
          <w:szCs w:val="24"/>
          <w:highlight w:val="none"/>
          <w:lang w:bidi="ar"/>
        </w:rPr>
        <w:t>。</w:t>
      </w:r>
    </w:p>
    <w:p>
      <w:pPr>
        <w:spacing w:before="183" w:beforeLines="50" w:after="183" w:afterLines="50" w:line="600" w:lineRule="exac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十、绩效自评结果拟应用和公开情况</w:t>
      </w:r>
    </w:p>
    <w:p>
      <w:pPr>
        <w:spacing w:line="54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202</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lang w:val="en-US" w:eastAsia="zh-CN"/>
        </w:rPr>
        <w:t>本局</w:t>
      </w:r>
      <w:r>
        <w:rPr>
          <w:rFonts w:hint="eastAsia" w:asciiTheme="minorEastAsia" w:hAnsiTheme="minorEastAsia" w:eastAsiaTheme="minorEastAsia" w:cstheme="minorEastAsia"/>
          <w:color w:val="auto"/>
          <w:sz w:val="24"/>
          <w:szCs w:val="24"/>
          <w:highlight w:val="none"/>
        </w:rPr>
        <w:t>进一步加大预算绩效管理力度，扎实开展预算绩效管理工作，将预算绩效自评结果作为改进预算管理和安排以后年度预算的重要依据。在</w:t>
      </w:r>
      <w:r>
        <w:rPr>
          <w:rFonts w:hint="eastAsia" w:asciiTheme="minorEastAsia" w:hAnsiTheme="minorEastAsia" w:eastAsiaTheme="minorEastAsia" w:cstheme="minorEastAsia"/>
          <w:color w:val="auto"/>
          <w:sz w:val="24"/>
          <w:szCs w:val="24"/>
          <w:highlight w:val="none"/>
          <w:lang w:val="en-US" w:eastAsia="zh-CN"/>
        </w:rPr>
        <w:t>2023年</w:t>
      </w:r>
      <w:r>
        <w:rPr>
          <w:rFonts w:hint="eastAsia" w:asciiTheme="minorEastAsia" w:hAnsiTheme="minorEastAsia" w:eastAsiaTheme="minorEastAsia" w:cstheme="minorEastAsia"/>
          <w:color w:val="auto"/>
          <w:sz w:val="24"/>
          <w:szCs w:val="24"/>
          <w:highlight w:val="none"/>
        </w:rPr>
        <w:t>编制预算时，不断完善绩效</w:t>
      </w:r>
      <w:r>
        <w:rPr>
          <w:rFonts w:hint="eastAsia" w:asciiTheme="minorEastAsia" w:hAnsiTheme="minorEastAsia" w:eastAsiaTheme="minorEastAsia" w:cstheme="minorEastAsia"/>
          <w:color w:val="auto"/>
          <w:sz w:val="24"/>
          <w:szCs w:val="24"/>
          <w:highlight w:val="none"/>
          <w:lang w:val="en-US" w:eastAsia="zh-CN"/>
        </w:rPr>
        <w:t>目标和绩效</w:t>
      </w:r>
      <w:r>
        <w:rPr>
          <w:rFonts w:hint="eastAsia" w:asciiTheme="minorEastAsia" w:hAnsiTheme="minorEastAsia" w:eastAsiaTheme="minorEastAsia" w:cstheme="minorEastAsia"/>
          <w:color w:val="auto"/>
          <w:sz w:val="24"/>
          <w:szCs w:val="24"/>
          <w:highlight w:val="none"/>
        </w:rPr>
        <w:t>评价指标，及时调整和优化</w:t>
      </w:r>
      <w:r>
        <w:rPr>
          <w:rFonts w:hint="eastAsia" w:asciiTheme="minorEastAsia" w:hAnsiTheme="minorEastAsia" w:eastAsiaTheme="minorEastAsia" w:cstheme="minorEastAsia"/>
          <w:color w:val="auto"/>
          <w:sz w:val="24"/>
          <w:szCs w:val="24"/>
          <w:highlight w:val="none"/>
          <w:lang w:val="en-US" w:eastAsia="zh-CN"/>
        </w:rPr>
        <w:t>工信部门</w:t>
      </w:r>
      <w:r>
        <w:rPr>
          <w:rFonts w:hint="eastAsia" w:asciiTheme="minorEastAsia" w:hAnsiTheme="minorEastAsia" w:eastAsiaTheme="minorEastAsia" w:cstheme="minorEastAsia"/>
          <w:color w:val="auto"/>
          <w:sz w:val="24"/>
          <w:szCs w:val="24"/>
          <w:highlight w:val="none"/>
        </w:rPr>
        <w:t>以后年度预算支出的方向和结构，加强财务管理，合理配置资源，强化资金使用的监督和跟踪</w:t>
      </w:r>
      <w:r>
        <w:rPr>
          <w:rFonts w:hint="eastAsia" w:asciiTheme="minorEastAsia" w:hAnsiTheme="minorEastAsia" w:eastAsiaTheme="minorEastAsia" w:cstheme="minorEastAsia"/>
          <w:color w:val="auto"/>
          <w:sz w:val="24"/>
          <w:szCs w:val="24"/>
          <w:highlight w:val="none"/>
          <w:lang w:val="en-US" w:eastAsia="zh-CN"/>
        </w:rPr>
        <w:t>评价</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进一步完善内部预算管理</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财务管理制度，切实提高本</w:t>
      </w:r>
      <w:r>
        <w:rPr>
          <w:rFonts w:hint="eastAsia" w:asciiTheme="minorEastAsia" w:hAnsiTheme="minorEastAsia" w:eastAsiaTheme="minorEastAsia" w:cstheme="minorEastAsia"/>
          <w:color w:val="auto"/>
          <w:sz w:val="24"/>
          <w:szCs w:val="24"/>
          <w:highlight w:val="none"/>
          <w:lang w:val="en-US" w:eastAsia="zh-CN"/>
        </w:rPr>
        <w:t>局的预算和绩效</w:t>
      </w:r>
      <w:r>
        <w:rPr>
          <w:rFonts w:hint="eastAsia" w:asciiTheme="minorEastAsia" w:hAnsiTheme="minorEastAsia" w:eastAsiaTheme="minorEastAsia" w:cstheme="minorEastAsia"/>
          <w:color w:val="auto"/>
          <w:sz w:val="24"/>
          <w:szCs w:val="24"/>
          <w:highlight w:val="none"/>
        </w:rPr>
        <w:t>管理水平</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提升</w:t>
      </w:r>
      <w:r>
        <w:rPr>
          <w:rFonts w:hint="eastAsia" w:asciiTheme="minorEastAsia" w:hAnsiTheme="minorEastAsia" w:eastAsiaTheme="minorEastAsia" w:cstheme="minorEastAsia"/>
          <w:color w:val="auto"/>
          <w:sz w:val="24"/>
          <w:szCs w:val="24"/>
          <w:highlight w:val="none"/>
        </w:rPr>
        <w:t>部门工作效率和财政</w:t>
      </w:r>
      <w:r>
        <w:rPr>
          <w:rFonts w:hint="eastAsia" w:asciiTheme="minorEastAsia" w:hAnsiTheme="minorEastAsia" w:eastAsiaTheme="minorEastAsia" w:cstheme="minorEastAsia"/>
          <w:color w:val="auto"/>
          <w:sz w:val="24"/>
          <w:szCs w:val="24"/>
          <w:highlight w:val="none"/>
          <w:lang w:val="en-US" w:eastAsia="zh-CN"/>
        </w:rPr>
        <w:t>预算</w:t>
      </w:r>
      <w:r>
        <w:rPr>
          <w:rFonts w:hint="eastAsia" w:asciiTheme="minorEastAsia" w:hAnsiTheme="minorEastAsia" w:eastAsiaTheme="minorEastAsia" w:cstheme="minorEastAsia"/>
          <w:color w:val="auto"/>
          <w:sz w:val="24"/>
          <w:szCs w:val="24"/>
          <w:highlight w:val="none"/>
        </w:rPr>
        <w:t>资金使用效益。</w:t>
      </w:r>
      <w:r>
        <w:rPr>
          <w:rFonts w:hint="eastAsia" w:asciiTheme="minorEastAsia" w:hAnsiTheme="minorEastAsia" w:eastAsiaTheme="minorEastAsia" w:cstheme="minorEastAsia"/>
          <w:color w:val="auto"/>
          <w:sz w:val="24"/>
          <w:szCs w:val="24"/>
          <w:highlight w:val="none"/>
          <w:lang w:val="en-US" w:eastAsia="zh-CN"/>
        </w:rPr>
        <w:t>本局</w:t>
      </w:r>
      <w:r>
        <w:rPr>
          <w:rFonts w:hint="eastAsia" w:asciiTheme="minorEastAsia" w:hAnsiTheme="minorEastAsia" w:eastAsiaTheme="minorEastAsia" w:cstheme="minorEastAsia"/>
          <w:color w:val="auto"/>
          <w:sz w:val="24"/>
          <w:szCs w:val="24"/>
          <w:highlight w:val="none"/>
        </w:rPr>
        <w:t>将按照规定及时在本</w:t>
      </w:r>
      <w:r>
        <w:rPr>
          <w:rFonts w:hint="eastAsia" w:asciiTheme="minorEastAsia" w:hAnsiTheme="minorEastAsia" w:eastAsiaTheme="minorEastAsia" w:cstheme="minorEastAsia"/>
          <w:color w:val="auto"/>
          <w:sz w:val="24"/>
          <w:szCs w:val="24"/>
          <w:highlight w:val="none"/>
          <w:lang w:val="en-US" w:eastAsia="zh-CN"/>
        </w:rPr>
        <w:t>州级本部门</w:t>
      </w:r>
      <w:r>
        <w:rPr>
          <w:rFonts w:hint="eastAsia" w:asciiTheme="minorEastAsia" w:hAnsiTheme="minorEastAsia" w:eastAsiaTheme="minorEastAsia" w:cstheme="minorEastAsia"/>
          <w:color w:val="auto"/>
          <w:sz w:val="24"/>
          <w:szCs w:val="24"/>
          <w:highlight w:val="none"/>
        </w:rPr>
        <w:t>的门户网站信息公开栏目上及时公开本部门绩效自评</w:t>
      </w:r>
      <w:r>
        <w:rPr>
          <w:rFonts w:hint="eastAsia" w:asciiTheme="minorEastAsia" w:hAnsiTheme="minorEastAsia" w:eastAsiaTheme="minorEastAsia" w:cstheme="minorEastAsia"/>
          <w:color w:val="auto"/>
          <w:sz w:val="24"/>
          <w:szCs w:val="24"/>
          <w:highlight w:val="none"/>
          <w:lang w:val="en-US" w:eastAsia="zh-CN"/>
        </w:rPr>
        <w:t>报告</w:t>
      </w:r>
      <w:r>
        <w:rPr>
          <w:rFonts w:hint="eastAsia" w:asciiTheme="minorEastAsia" w:hAnsiTheme="minorEastAsia" w:eastAsiaTheme="minorEastAsia" w:cstheme="minorEastAsia"/>
          <w:color w:val="auto"/>
          <w:sz w:val="24"/>
          <w:szCs w:val="24"/>
          <w:highlight w:val="none"/>
        </w:rPr>
        <w:t>，接受社会公众对本部门的监督。</w:t>
      </w:r>
    </w:p>
    <w:p>
      <w:pPr>
        <w:spacing w:before="183" w:beforeLines="50" w:after="183" w:afterLines="50" w:line="600" w:lineRule="exac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十一、其他需要说明的问题</w:t>
      </w:r>
    </w:p>
    <w:p>
      <w:pPr>
        <w:widowControl/>
        <w:spacing w:before="183" w:beforeLines="50" w:line="580" w:lineRule="exact"/>
        <w:ind w:firstLine="480" w:firstLineChars="200"/>
        <w:outlineLvl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无</w:t>
      </w:r>
    </w:p>
    <w:p>
      <w:pPr>
        <w:spacing w:line="540" w:lineRule="exact"/>
        <w:ind w:firstLine="480" w:firstLineChars="200"/>
        <w:rPr>
          <w:rFonts w:hint="eastAsia" w:asciiTheme="minorEastAsia" w:hAnsiTheme="minorEastAsia" w:eastAsiaTheme="minorEastAsia" w:cstheme="minorEastAsia"/>
          <w:color w:val="auto"/>
          <w:sz w:val="24"/>
          <w:szCs w:val="24"/>
          <w:highlight w:val="none"/>
        </w:rPr>
      </w:pPr>
    </w:p>
    <w:p>
      <w:pPr>
        <w:pStyle w:val="2"/>
        <w:rPr>
          <w:rFonts w:hint="eastAsia"/>
          <w:color w:val="auto"/>
        </w:rPr>
      </w:pPr>
    </w:p>
    <w:p>
      <w:pPr>
        <w:spacing w:line="540" w:lineRule="exact"/>
        <w:ind w:firstLine="480" w:firstLineChars="20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附件</w:t>
      </w:r>
      <w:r>
        <w:rPr>
          <w:rFonts w:hint="eastAsia" w:asciiTheme="minorEastAsia" w:hAnsiTheme="minorEastAsia" w:eastAsiaTheme="minorEastAsia" w:cstheme="minorEastAsia"/>
          <w:color w:val="auto"/>
          <w:sz w:val="24"/>
          <w:szCs w:val="24"/>
          <w:highlight w:val="none"/>
          <w:lang w:val="en-US" w:eastAsia="zh-CN"/>
        </w:rPr>
        <w:t>如</w:t>
      </w:r>
      <w:r>
        <w:rPr>
          <w:rFonts w:hint="eastAsia" w:asciiTheme="minorEastAsia" w:hAnsiTheme="minorEastAsia" w:eastAsiaTheme="minorEastAsia" w:cstheme="minorEastAsia"/>
          <w:color w:val="auto"/>
          <w:sz w:val="24"/>
          <w:szCs w:val="24"/>
          <w:highlight w:val="none"/>
        </w:rPr>
        <w:t>下：</w:t>
      </w:r>
    </w:p>
    <w:p>
      <w:pPr>
        <w:spacing w:line="540" w:lineRule="exact"/>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附件1  州级预算部门整体支出绩效评价基础数据表</w:t>
      </w:r>
    </w:p>
    <w:p>
      <w:pPr>
        <w:spacing w:line="540" w:lineRule="exact"/>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附件2  州级预算部门整体支出绩效自评表（2022年度）</w:t>
      </w:r>
    </w:p>
    <w:p>
      <w:pPr>
        <w:spacing w:line="54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附件3  关于开展2022年度州直预算部门整体支出绩效自评的通知</w:t>
      </w:r>
    </w:p>
    <w:p>
      <w:pPr>
        <w:widowControl/>
        <w:spacing w:before="183" w:beforeLines="50" w:line="580" w:lineRule="exact"/>
        <w:outlineLvl w:val="0"/>
        <w:rPr>
          <w:rFonts w:hint="eastAsia" w:asciiTheme="minorEastAsia" w:hAnsiTheme="minorEastAsia" w:eastAsiaTheme="minorEastAsia" w:cstheme="minorEastAsia"/>
          <w:color w:val="auto"/>
          <w:sz w:val="24"/>
          <w:szCs w:val="24"/>
          <w:highlight w:val="none"/>
        </w:rPr>
      </w:pPr>
    </w:p>
    <w:p>
      <w:pPr>
        <w:widowControl/>
        <w:spacing w:before="183" w:beforeLines="50" w:line="580" w:lineRule="exact"/>
        <w:ind w:firstLine="3600" w:firstLineChars="1500"/>
        <w:outlineLvl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湘西土家族苗族自治州工业和信息化局</w:t>
      </w:r>
    </w:p>
    <w:p>
      <w:pPr>
        <w:widowControl/>
        <w:spacing w:before="183" w:beforeLines="50" w:line="580" w:lineRule="exact"/>
        <w:ind w:firstLine="4560" w:firstLineChars="1900"/>
        <w:outlineLvl w:val="0"/>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二0二三年六月</w:t>
      </w:r>
    </w:p>
    <w:p>
      <w:pPr>
        <w:widowControl/>
        <w:spacing w:before="183" w:beforeLines="50" w:line="580" w:lineRule="exact"/>
        <w:outlineLvl w:val="0"/>
        <w:rPr>
          <w:rFonts w:hint="eastAsia" w:asciiTheme="minorEastAsia" w:hAnsiTheme="minorEastAsia" w:eastAsiaTheme="minorEastAsia" w:cstheme="minorEastAsia"/>
          <w:color w:val="auto"/>
          <w:sz w:val="24"/>
          <w:szCs w:val="24"/>
          <w:highlight w:val="none"/>
        </w:rPr>
      </w:pPr>
    </w:p>
    <w:p>
      <w:pPr>
        <w:ind w:firstLine="9600" w:firstLineChars="40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w:t>
      </w:r>
    </w:p>
    <w:p>
      <w:pPr>
        <w:jc w:val="both"/>
        <w:rPr>
          <w:rFonts w:hint="eastAsia" w:asciiTheme="minorEastAsia" w:hAnsiTheme="minorEastAsia" w:eastAsiaTheme="minorEastAsia" w:cstheme="minorEastAsia"/>
          <w:b/>
          <w:bCs/>
          <w:color w:val="auto"/>
          <w:sz w:val="24"/>
          <w:szCs w:val="24"/>
          <w:highlight w:val="none"/>
        </w:rPr>
      </w:pPr>
    </w:p>
    <w:p>
      <w:pPr>
        <w:jc w:val="both"/>
        <w:rPr>
          <w:rFonts w:hint="eastAsia" w:asciiTheme="minorEastAsia" w:hAnsiTheme="minorEastAsia" w:eastAsiaTheme="minorEastAsia" w:cstheme="minorEastAsia"/>
          <w:b/>
          <w:bCs/>
          <w:color w:val="auto"/>
          <w:sz w:val="24"/>
          <w:szCs w:val="24"/>
          <w:highlight w:val="none"/>
        </w:rPr>
      </w:pPr>
    </w:p>
    <w:p>
      <w:pPr>
        <w:jc w:val="both"/>
        <w:rPr>
          <w:rFonts w:hint="eastAsia" w:asciiTheme="minorEastAsia" w:hAnsiTheme="minorEastAsia" w:eastAsiaTheme="minorEastAsia" w:cstheme="minorEastAsia"/>
          <w:b/>
          <w:bCs/>
          <w:color w:val="auto"/>
          <w:sz w:val="24"/>
          <w:szCs w:val="24"/>
          <w:highlight w:val="none"/>
        </w:rPr>
      </w:pPr>
    </w:p>
    <w:p>
      <w:pPr>
        <w:jc w:val="both"/>
        <w:rPr>
          <w:rFonts w:hint="eastAsia" w:asciiTheme="minorEastAsia" w:hAnsiTheme="minorEastAsia" w:eastAsiaTheme="minorEastAsia" w:cstheme="minorEastAsia"/>
          <w:b/>
          <w:bCs/>
          <w:color w:val="auto"/>
          <w:sz w:val="24"/>
          <w:szCs w:val="24"/>
          <w:highlight w:val="none"/>
        </w:rPr>
      </w:pPr>
    </w:p>
    <w:p>
      <w:pPr>
        <w:jc w:val="both"/>
        <w:rPr>
          <w:rFonts w:hint="eastAsia" w:asciiTheme="minorEastAsia" w:hAnsiTheme="minorEastAsia" w:eastAsiaTheme="minorEastAsia" w:cstheme="minorEastAsia"/>
          <w:b/>
          <w:bCs/>
          <w:color w:val="auto"/>
          <w:sz w:val="24"/>
          <w:szCs w:val="24"/>
          <w:highlight w:val="none"/>
        </w:rPr>
      </w:pPr>
    </w:p>
    <w:p>
      <w:pPr>
        <w:jc w:val="both"/>
        <w:rPr>
          <w:rFonts w:hint="eastAsia" w:asciiTheme="minorEastAsia" w:hAnsiTheme="minorEastAsia" w:eastAsiaTheme="minorEastAsia" w:cstheme="minorEastAsia"/>
          <w:b/>
          <w:bCs/>
          <w:color w:val="auto"/>
          <w:sz w:val="24"/>
          <w:szCs w:val="24"/>
          <w:highlight w:val="none"/>
        </w:rPr>
      </w:pPr>
    </w:p>
    <w:p>
      <w:pPr>
        <w:jc w:val="both"/>
        <w:rPr>
          <w:rFonts w:hint="eastAsia" w:asciiTheme="minorEastAsia" w:hAnsiTheme="minorEastAsia" w:eastAsiaTheme="minorEastAsia" w:cstheme="minorEastAsia"/>
          <w:b/>
          <w:bCs/>
          <w:color w:val="auto"/>
          <w:sz w:val="24"/>
          <w:szCs w:val="24"/>
          <w:highlight w:val="none"/>
        </w:rPr>
      </w:pPr>
    </w:p>
    <w:p>
      <w:pPr>
        <w:jc w:val="both"/>
        <w:rPr>
          <w:rFonts w:hint="eastAsia" w:asciiTheme="minorEastAsia" w:hAnsiTheme="minorEastAsia" w:eastAsiaTheme="minorEastAsia" w:cstheme="minorEastAsia"/>
          <w:b/>
          <w:bCs/>
          <w:color w:val="auto"/>
          <w:sz w:val="24"/>
          <w:szCs w:val="24"/>
          <w:highlight w:val="none"/>
        </w:rPr>
      </w:pPr>
    </w:p>
    <w:p>
      <w:pPr>
        <w:jc w:val="both"/>
        <w:rPr>
          <w:rFonts w:hint="eastAsia" w:asciiTheme="minorEastAsia" w:hAnsiTheme="minorEastAsia" w:eastAsiaTheme="minorEastAsia" w:cstheme="minorEastAsia"/>
          <w:b/>
          <w:bCs/>
          <w:color w:val="auto"/>
          <w:sz w:val="24"/>
          <w:szCs w:val="24"/>
          <w:highlight w:val="none"/>
        </w:rPr>
      </w:pPr>
    </w:p>
    <w:p>
      <w:pPr>
        <w:jc w:val="both"/>
        <w:rPr>
          <w:rFonts w:hint="eastAsia" w:asciiTheme="minorEastAsia" w:hAnsiTheme="minorEastAsia" w:eastAsiaTheme="minorEastAsia" w:cstheme="minorEastAsia"/>
          <w:b/>
          <w:bCs/>
          <w:color w:val="auto"/>
          <w:sz w:val="24"/>
          <w:szCs w:val="24"/>
          <w:highlight w:val="none"/>
        </w:rPr>
      </w:pPr>
    </w:p>
    <w:p>
      <w:pPr>
        <w:jc w:val="both"/>
        <w:rPr>
          <w:rFonts w:hint="eastAsia" w:asciiTheme="minorEastAsia" w:hAnsiTheme="minorEastAsia" w:eastAsiaTheme="minorEastAsia" w:cstheme="minorEastAsia"/>
          <w:b/>
          <w:bCs/>
          <w:color w:val="auto"/>
          <w:sz w:val="24"/>
          <w:szCs w:val="24"/>
          <w:highlight w:val="none"/>
        </w:rPr>
      </w:pPr>
    </w:p>
    <w:p>
      <w:pPr>
        <w:jc w:val="both"/>
        <w:rPr>
          <w:rFonts w:hint="eastAsia" w:asciiTheme="minorEastAsia" w:hAnsiTheme="minorEastAsia" w:eastAsiaTheme="minorEastAsia" w:cstheme="minorEastAsia"/>
          <w:b/>
          <w:bCs/>
          <w:color w:val="auto"/>
          <w:sz w:val="24"/>
          <w:szCs w:val="24"/>
          <w:highlight w:val="none"/>
        </w:rPr>
      </w:pPr>
    </w:p>
    <w:p>
      <w:pPr>
        <w:jc w:val="both"/>
        <w:rPr>
          <w:rFonts w:hint="eastAsia" w:asciiTheme="minorEastAsia" w:hAnsiTheme="minorEastAsia" w:eastAsiaTheme="minorEastAsia" w:cstheme="minorEastAsia"/>
          <w:b/>
          <w:bCs/>
          <w:color w:val="auto"/>
          <w:sz w:val="24"/>
          <w:szCs w:val="24"/>
          <w:highlight w:val="none"/>
        </w:rPr>
      </w:pPr>
    </w:p>
    <w:p>
      <w:pPr>
        <w:jc w:val="both"/>
        <w:rPr>
          <w:rFonts w:hint="eastAsia" w:asciiTheme="minorEastAsia" w:hAnsiTheme="minorEastAsia" w:eastAsiaTheme="minorEastAsia" w:cstheme="minorEastAsia"/>
          <w:b/>
          <w:bCs/>
          <w:color w:val="auto"/>
          <w:sz w:val="24"/>
          <w:szCs w:val="24"/>
          <w:highlight w:val="none"/>
        </w:rPr>
      </w:pPr>
    </w:p>
    <w:p>
      <w:pPr>
        <w:jc w:val="both"/>
        <w:rPr>
          <w:rFonts w:hint="eastAsia" w:asciiTheme="minorEastAsia" w:hAnsiTheme="minorEastAsia" w:eastAsiaTheme="minorEastAsia" w:cstheme="minorEastAsia"/>
          <w:b/>
          <w:bCs/>
          <w:color w:val="auto"/>
          <w:sz w:val="24"/>
          <w:szCs w:val="24"/>
          <w:highlight w:val="none"/>
        </w:rPr>
      </w:pPr>
    </w:p>
    <w:p>
      <w:pPr>
        <w:jc w:val="both"/>
        <w:rPr>
          <w:rFonts w:hint="eastAsia" w:asciiTheme="minorEastAsia" w:hAnsiTheme="minorEastAsia" w:eastAsiaTheme="minorEastAsia" w:cstheme="minorEastAsia"/>
          <w:b/>
          <w:bCs/>
          <w:color w:val="auto"/>
          <w:sz w:val="24"/>
          <w:szCs w:val="24"/>
          <w:highlight w:val="none"/>
        </w:rPr>
      </w:pPr>
    </w:p>
    <w:p>
      <w:pPr>
        <w:jc w:val="both"/>
        <w:rPr>
          <w:rFonts w:hint="eastAsia" w:asciiTheme="minorEastAsia" w:hAnsiTheme="minorEastAsia" w:eastAsiaTheme="minorEastAsia" w:cstheme="minorEastAsia"/>
          <w:b/>
          <w:bCs/>
          <w:color w:val="auto"/>
          <w:sz w:val="24"/>
          <w:szCs w:val="24"/>
          <w:highlight w:val="none"/>
        </w:rPr>
      </w:pPr>
    </w:p>
    <w:p>
      <w:pPr>
        <w:jc w:val="both"/>
        <w:rPr>
          <w:rFonts w:hint="eastAsia" w:asciiTheme="minorEastAsia" w:hAnsiTheme="minorEastAsia" w:eastAsiaTheme="minorEastAsia" w:cstheme="minorEastAsia"/>
          <w:b/>
          <w:bCs/>
          <w:color w:val="auto"/>
          <w:sz w:val="24"/>
          <w:szCs w:val="24"/>
          <w:highlight w:val="none"/>
        </w:rPr>
      </w:pPr>
    </w:p>
    <w:p>
      <w:pPr>
        <w:jc w:val="both"/>
        <w:rPr>
          <w:rFonts w:hint="eastAsia" w:asciiTheme="minorEastAsia" w:hAnsiTheme="minorEastAsia" w:eastAsiaTheme="minorEastAsia" w:cstheme="minorEastAsia"/>
          <w:b/>
          <w:bCs/>
          <w:color w:val="auto"/>
          <w:sz w:val="24"/>
          <w:szCs w:val="24"/>
          <w:highlight w:val="none"/>
        </w:rPr>
      </w:pPr>
    </w:p>
    <w:p>
      <w:pPr>
        <w:jc w:val="both"/>
        <w:rPr>
          <w:rFonts w:hint="eastAsia" w:asciiTheme="minorEastAsia" w:hAnsiTheme="minorEastAsia" w:eastAsiaTheme="minorEastAsia" w:cstheme="minorEastAsia"/>
          <w:b/>
          <w:bCs/>
          <w:color w:val="auto"/>
          <w:sz w:val="24"/>
          <w:szCs w:val="24"/>
          <w:highlight w:val="none"/>
        </w:rPr>
      </w:pPr>
    </w:p>
    <w:p>
      <w:pPr>
        <w:jc w:val="both"/>
        <w:rPr>
          <w:rFonts w:hint="eastAsia" w:asciiTheme="minorEastAsia" w:hAnsiTheme="minorEastAsia" w:eastAsiaTheme="minorEastAsia" w:cstheme="minorEastAsia"/>
          <w:b/>
          <w:bCs/>
          <w:color w:val="auto"/>
          <w:sz w:val="24"/>
          <w:szCs w:val="24"/>
          <w:highlight w:val="none"/>
        </w:rPr>
      </w:pPr>
    </w:p>
    <w:p>
      <w:pPr>
        <w:jc w:val="both"/>
        <w:rPr>
          <w:rFonts w:hint="eastAsia" w:asciiTheme="minorEastAsia" w:hAnsiTheme="minorEastAsia" w:eastAsiaTheme="minorEastAsia" w:cstheme="minorEastAsia"/>
          <w:b/>
          <w:bCs/>
          <w:color w:val="auto"/>
          <w:sz w:val="24"/>
          <w:szCs w:val="24"/>
          <w:highlight w:val="none"/>
        </w:rPr>
      </w:pPr>
    </w:p>
    <w:p>
      <w:pPr>
        <w:jc w:val="both"/>
        <w:rPr>
          <w:rFonts w:hint="eastAsia" w:asciiTheme="minorEastAsia" w:hAnsiTheme="minorEastAsia" w:eastAsiaTheme="minorEastAsia" w:cstheme="minorEastAsia"/>
          <w:b/>
          <w:bCs/>
          <w:color w:val="auto"/>
          <w:sz w:val="24"/>
          <w:szCs w:val="24"/>
          <w:highlight w:val="none"/>
        </w:rPr>
      </w:pPr>
    </w:p>
    <w:p>
      <w:pPr>
        <w:jc w:val="both"/>
        <w:rPr>
          <w:rFonts w:hint="eastAsia" w:asciiTheme="minorEastAsia" w:hAnsiTheme="minorEastAsia" w:eastAsiaTheme="minorEastAsia" w:cstheme="minorEastAsia"/>
          <w:b/>
          <w:bCs/>
          <w:color w:val="auto"/>
          <w:sz w:val="24"/>
          <w:szCs w:val="24"/>
          <w:highlight w:val="none"/>
        </w:rPr>
      </w:pPr>
    </w:p>
    <w:p>
      <w:pPr>
        <w:jc w:val="both"/>
        <w:rPr>
          <w:rFonts w:hint="eastAsia" w:asciiTheme="minorEastAsia" w:hAnsiTheme="minorEastAsia" w:eastAsiaTheme="minorEastAsia" w:cstheme="minorEastAsia"/>
          <w:b/>
          <w:bCs/>
          <w:color w:val="auto"/>
          <w:sz w:val="24"/>
          <w:szCs w:val="24"/>
          <w:highlight w:val="none"/>
        </w:rPr>
      </w:pPr>
    </w:p>
    <w:p>
      <w:pPr>
        <w:jc w:val="both"/>
        <w:rPr>
          <w:rFonts w:hint="eastAsia" w:asciiTheme="minorEastAsia" w:hAnsiTheme="minorEastAsia" w:eastAsiaTheme="minorEastAsia" w:cstheme="minorEastAsia"/>
          <w:b/>
          <w:bCs/>
          <w:color w:val="auto"/>
          <w:sz w:val="24"/>
          <w:szCs w:val="24"/>
          <w:highlight w:val="none"/>
        </w:rPr>
      </w:pPr>
    </w:p>
    <w:p>
      <w:pPr>
        <w:jc w:val="both"/>
        <w:rPr>
          <w:rFonts w:hint="eastAsia" w:asciiTheme="minorEastAsia" w:hAnsiTheme="minorEastAsia" w:eastAsiaTheme="minorEastAsia" w:cstheme="minorEastAsia"/>
          <w:b/>
          <w:bCs/>
          <w:color w:val="auto"/>
          <w:sz w:val="24"/>
          <w:szCs w:val="24"/>
          <w:highlight w:val="none"/>
        </w:rPr>
      </w:pPr>
    </w:p>
    <w:p>
      <w:pPr>
        <w:jc w:val="both"/>
        <w:rPr>
          <w:rFonts w:hint="eastAsia" w:asciiTheme="minorEastAsia" w:hAnsiTheme="minorEastAsia" w:eastAsiaTheme="minorEastAsia" w:cstheme="minorEastAsia"/>
          <w:b/>
          <w:bCs/>
          <w:color w:val="auto"/>
          <w:sz w:val="24"/>
          <w:szCs w:val="24"/>
          <w:highlight w:val="none"/>
        </w:rPr>
      </w:pPr>
    </w:p>
    <w:p>
      <w:pPr>
        <w:jc w:val="both"/>
        <w:rPr>
          <w:rFonts w:hint="eastAsia" w:asciiTheme="minorEastAsia" w:hAnsiTheme="minorEastAsia" w:eastAsiaTheme="minorEastAsia" w:cstheme="minorEastAsia"/>
          <w:b/>
          <w:bCs/>
          <w:color w:val="auto"/>
          <w:sz w:val="24"/>
          <w:szCs w:val="24"/>
          <w:highlight w:val="none"/>
        </w:rPr>
      </w:pPr>
    </w:p>
    <w:p>
      <w:pPr>
        <w:jc w:val="both"/>
        <w:rPr>
          <w:rFonts w:hint="eastAsia" w:asciiTheme="minorEastAsia" w:hAnsiTheme="minorEastAsia" w:eastAsiaTheme="minorEastAsia" w:cstheme="minorEastAsia"/>
          <w:b/>
          <w:bCs/>
          <w:color w:val="auto"/>
          <w:sz w:val="24"/>
          <w:szCs w:val="24"/>
          <w:highlight w:val="none"/>
        </w:rPr>
      </w:pPr>
    </w:p>
    <w:p>
      <w:pPr>
        <w:jc w:val="both"/>
        <w:rPr>
          <w:rFonts w:hint="eastAsia" w:asciiTheme="minorEastAsia" w:hAnsiTheme="minorEastAsia" w:eastAsiaTheme="minorEastAsia" w:cstheme="minorEastAsia"/>
          <w:b/>
          <w:bCs/>
          <w:color w:val="auto"/>
          <w:sz w:val="24"/>
          <w:szCs w:val="24"/>
          <w:highlight w:val="none"/>
        </w:rPr>
      </w:pPr>
    </w:p>
    <w:p>
      <w:pPr>
        <w:jc w:val="both"/>
        <w:rPr>
          <w:rFonts w:hint="eastAsia" w:asciiTheme="minorEastAsia" w:hAnsiTheme="minorEastAsia" w:eastAsiaTheme="minorEastAsia" w:cstheme="minorEastAsia"/>
          <w:b/>
          <w:bCs/>
          <w:color w:val="auto"/>
          <w:sz w:val="24"/>
          <w:szCs w:val="24"/>
          <w:highlight w:val="none"/>
        </w:rPr>
      </w:pPr>
    </w:p>
    <w:p>
      <w:pPr>
        <w:jc w:val="both"/>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rPr>
        <w:t>附件</w:t>
      </w:r>
      <w:r>
        <w:rPr>
          <w:rFonts w:hint="eastAsia" w:asciiTheme="minorEastAsia" w:hAnsiTheme="minorEastAsia" w:eastAsiaTheme="minorEastAsia" w:cstheme="minorEastAsia"/>
          <w:b/>
          <w:bCs/>
          <w:color w:val="auto"/>
          <w:sz w:val="24"/>
          <w:szCs w:val="24"/>
          <w:highlight w:val="none"/>
          <w:lang w:val="en-US" w:eastAsia="zh-CN"/>
        </w:rPr>
        <w:t xml:space="preserve">1 </w:t>
      </w:r>
    </w:p>
    <w:p>
      <w:pPr>
        <w:spacing w:before="156" w:beforeLines="50" w:line="400" w:lineRule="exact"/>
        <w:jc w:val="center"/>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州级预算部门整体支出绩效评价基础数据表</w:t>
      </w:r>
    </w:p>
    <w:tbl>
      <w:tblPr>
        <w:tblStyle w:val="9"/>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1"/>
        <w:gridCol w:w="832"/>
        <w:gridCol w:w="1156"/>
        <w:gridCol w:w="1111"/>
        <w:gridCol w:w="1281"/>
        <w:gridCol w:w="1080"/>
        <w:gridCol w:w="1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1" w:type="dxa"/>
            <w:vMerge w:val="restart"/>
            <w:vAlign w:val="center"/>
          </w:tcPr>
          <w:p>
            <w:pPr>
              <w:spacing w:line="30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财政供养人员情况</w:t>
            </w:r>
          </w:p>
        </w:tc>
        <w:tc>
          <w:tcPr>
            <w:tcW w:w="1988"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202</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年末编制数</w:t>
            </w:r>
          </w:p>
        </w:tc>
        <w:tc>
          <w:tcPr>
            <w:tcW w:w="2392"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202</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年末实际在职人数</w:t>
            </w:r>
          </w:p>
        </w:tc>
        <w:tc>
          <w:tcPr>
            <w:tcW w:w="2187"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控制率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1" w:type="dxa"/>
            <w:vMerge w:val="continue"/>
            <w:vAlign w:val="center"/>
          </w:tcPr>
          <w:p>
            <w:pPr>
              <w:spacing w:line="300" w:lineRule="exact"/>
              <w:jc w:val="left"/>
              <w:rPr>
                <w:rFonts w:hint="eastAsia" w:asciiTheme="minorEastAsia" w:hAnsiTheme="minorEastAsia" w:eastAsiaTheme="minorEastAsia" w:cstheme="minorEastAsia"/>
                <w:b/>
                <w:bCs/>
                <w:color w:val="auto"/>
                <w:sz w:val="21"/>
                <w:szCs w:val="21"/>
                <w:highlight w:val="none"/>
              </w:rPr>
            </w:pPr>
          </w:p>
        </w:tc>
        <w:tc>
          <w:tcPr>
            <w:tcW w:w="1988"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91</w:t>
            </w:r>
          </w:p>
        </w:tc>
        <w:tc>
          <w:tcPr>
            <w:tcW w:w="2392"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78</w:t>
            </w:r>
          </w:p>
        </w:tc>
        <w:tc>
          <w:tcPr>
            <w:tcW w:w="2187" w:type="dxa"/>
            <w:gridSpan w:val="2"/>
            <w:shd w:val="clear" w:color="auto" w:fill="auto"/>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shd w:val="clear" w:color="FFFFFF"/>
                <w:lang w:val="en-US" w:eastAsia="zh-CN"/>
              </w:rPr>
              <w:t>85.71%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071" w:type="dxa"/>
            <w:vAlign w:val="center"/>
          </w:tcPr>
          <w:p>
            <w:pPr>
              <w:spacing w:line="30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经费控制情况</w:t>
            </w:r>
          </w:p>
        </w:tc>
        <w:tc>
          <w:tcPr>
            <w:tcW w:w="1988"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202</w:t>
            </w: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年决算数</w:t>
            </w:r>
          </w:p>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（万元）</w:t>
            </w:r>
          </w:p>
        </w:tc>
        <w:tc>
          <w:tcPr>
            <w:tcW w:w="2392"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202</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年预算数</w:t>
            </w:r>
          </w:p>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（万元）</w:t>
            </w:r>
          </w:p>
        </w:tc>
        <w:tc>
          <w:tcPr>
            <w:tcW w:w="2187"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202</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年决算数</w:t>
            </w:r>
          </w:p>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071" w:type="dxa"/>
            <w:vAlign w:val="center"/>
          </w:tcPr>
          <w:p>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一、三公经费</w:t>
            </w:r>
          </w:p>
        </w:tc>
        <w:tc>
          <w:tcPr>
            <w:tcW w:w="1988" w:type="dxa"/>
            <w:gridSpan w:val="2"/>
            <w:vAlign w:val="center"/>
          </w:tcPr>
          <w:p>
            <w:pPr>
              <w:widowControl/>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14.02</w:t>
            </w:r>
          </w:p>
        </w:tc>
        <w:tc>
          <w:tcPr>
            <w:tcW w:w="2392" w:type="dxa"/>
            <w:gridSpan w:val="2"/>
            <w:vAlign w:val="center"/>
          </w:tcPr>
          <w:p>
            <w:pPr>
              <w:widowControl/>
              <w:jc w:val="center"/>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73.30</w:t>
            </w:r>
          </w:p>
        </w:tc>
        <w:tc>
          <w:tcPr>
            <w:tcW w:w="2187" w:type="dxa"/>
            <w:gridSpan w:val="2"/>
            <w:vAlign w:val="center"/>
          </w:tcPr>
          <w:p>
            <w:pPr>
              <w:widowControl/>
              <w:jc w:val="center"/>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27.74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3071" w:type="dxa"/>
            <w:vAlign w:val="center"/>
          </w:tcPr>
          <w:p>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1、公务用车购置和运行维护费</w:t>
            </w:r>
          </w:p>
        </w:tc>
        <w:tc>
          <w:tcPr>
            <w:tcW w:w="1988" w:type="dxa"/>
            <w:gridSpan w:val="2"/>
            <w:vAlign w:val="center"/>
          </w:tcPr>
          <w:p>
            <w:pPr>
              <w:widowControl/>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11.50</w:t>
            </w:r>
          </w:p>
        </w:tc>
        <w:tc>
          <w:tcPr>
            <w:tcW w:w="2392" w:type="dxa"/>
            <w:gridSpan w:val="2"/>
            <w:vAlign w:val="center"/>
          </w:tcPr>
          <w:p>
            <w:pPr>
              <w:widowControl/>
              <w:jc w:val="center"/>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36.30</w:t>
            </w:r>
          </w:p>
        </w:tc>
        <w:tc>
          <w:tcPr>
            <w:tcW w:w="2187" w:type="dxa"/>
            <w:gridSpan w:val="2"/>
            <w:vAlign w:val="center"/>
          </w:tcPr>
          <w:p>
            <w:pPr>
              <w:widowControl/>
              <w:jc w:val="center"/>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071" w:type="dxa"/>
            <w:vAlign w:val="center"/>
          </w:tcPr>
          <w:p>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其中：公务用车购置费</w:t>
            </w:r>
          </w:p>
        </w:tc>
        <w:tc>
          <w:tcPr>
            <w:tcW w:w="1988"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0</w:t>
            </w:r>
          </w:p>
        </w:tc>
        <w:tc>
          <w:tcPr>
            <w:tcW w:w="2392"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2187"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071" w:type="dxa"/>
            <w:vAlign w:val="center"/>
          </w:tcPr>
          <w:p>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公务用车运行维护费</w:t>
            </w:r>
          </w:p>
        </w:tc>
        <w:tc>
          <w:tcPr>
            <w:tcW w:w="1988" w:type="dxa"/>
            <w:gridSpan w:val="2"/>
            <w:vAlign w:val="center"/>
          </w:tcPr>
          <w:p>
            <w:pPr>
              <w:widowControl/>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11.50</w:t>
            </w:r>
          </w:p>
        </w:tc>
        <w:tc>
          <w:tcPr>
            <w:tcW w:w="2392" w:type="dxa"/>
            <w:gridSpan w:val="2"/>
            <w:vAlign w:val="center"/>
          </w:tcPr>
          <w:p>
            <w:pPr>
              <w:widowControl/>
              <w:jc w:val="center"/>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36.30</w:t>
            </w:r>
          </w:p>
        </w:tc>
        <w:tc>
          <w:tcPr>
            <w:tcW w:w="2187" w:type="dxa"/>
            <w:gridSpan w:val="2"/>
            <w:vAlign w:val="center"/>
          </w:tcPr>
          <w:p>
            <w:pPr>
              <w:widowControl/>
              <w:jc w:val="center"/>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071" w:type="dxa"/>
            <w:vAlign w:val="center"/>
          </w:tcPr>
          <w:p>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2、因公出国（境）费用</w:t>
            </w:r>
          </w:p>
        </w:tc>
        <w:tc>
          <w:tcPr>
            <w:tcW w:w="1988"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0</w:t>
            </w:r>
          </w:p>
        </w:tc>
        <w:tc>
          <w:tcPr>
            <w:tcW w:w="2392"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2187"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071" w:type="dxa"/>
            <w:vAlign w:val="center"/>
          </w:tcPr>
          <w:p>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3、公务接待费</w:t>
            </w:r>
          </w:p>
        </w:tc>
        <w:tc>
          <w:tcPr>
            <w:tcW w:w="1988" w:type="dxa"/>
            <w:gridSpan w:val="2"/>
            <w:vAlign w:val="center"/>
          </w:tcPr>
          <w:p>
            <w:pPr>
              <w:widowControl/>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2.52</w:t>
            </w:r>
          </w:p>
        </w:tc>
        <w:tc>
          <w:tcPr>
            <w:tcW w:w="2392" w:type="dxa"/>
            <w:gridSpan w:val="2"/>
            <w:vAlign w:val="center"/>
          </w:tcPr>
          <w:p>
            <w:pPr>
              <w:widowControl/>
              <w:jc w:val="center"/>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37.00</w:t>
            </w:r>
          </w:p>
        </w:tc>
        <w:tc>
          <w:tcPr>
            <w:tcW w:w="2187" w:type="dxa"/>
            <w:gridSpan w:val="2"/>
            <w:vAlign w:val="center"/>
          </w:tcPr>
          <w:p>
            <w:pPr>
              <w:widowControl/>
              <w:jc w:val="center"/>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3071" w:type="dxa"/>
            <w:vAlign w:val="center"/>
          </w:tcPr>
          <w:p>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二、项目支出</w:t>
            </w:r>
          </w:p>
        </w:tc>
        <w:tc>
          <w:tcPr>
            <w:tcW w:w="1988"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4078.15</w:t>
            </w:r>
          </w:p>
        </w:tc>
        <w:tc>
          <w:tcPr>
            <w:tcW w:w="2392"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136.85</w:t>
            </w:r>
          </w:p>
        </w:tc>
        <w:tc>
          <w:tcPr>
            <w:tcW w:w="2187"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6148.40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071" w:type="dxa"/>
            <w:vAlign w:val="center"/>
          </w:tcPr>
          <w:p>
            <w:pPr>
              <w:spacing w:line="300" w:lineRule="exact"/>
              <w:ind w:firstLine="210" w:firstLineChars="100"/>
              <w:jc w:val="left"/>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其中：</w:t>
            </w:r>
            <w:r>
              <w:rPr>
                <w:rFonts w:hint="eastAsia" w:asciiTheme="minorEastAsia" w:hAnsiTheme="minorEastAsia" w:eastAsiaTheme="minorEastAsia" w:cstheme="minorEastAsia"/>
                <w:color w:val="auto"/>
                <w:sz w:val="21"/>
                <w:szCs w:val="21"/>
                <w:highlight w:val="none"/>
                <w:lang w:val="en-US" w:eastAsia="zh-CN"/>
              </w:rPr>
              <w:t>工业发展资金</w:t>
            </w:r>
          </w:p>
        </w:tc>
        <w:tc>
          <w:tcPr>
            <w:tcW w:w="1988"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1960.00</w:t>
            </w:r>
          </w:p>
        </w:tc>
        <w:tc>
          <w:tcPr>
            <w:tcW w:w="2392"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2187"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3071" w:type="dxa"/>
            <w:vAlign w:val="center"/>
          </w:tcPr>
          <w:p>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三、公用经费</w:t>
            </w:r>
          </w:p>
        </w:tc>
        <w:tc>
          <w:tcPr>
            <w:tcW w:w="1988"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370.14</w:t>
            </w:r>
          </w:p>
        </w:tc>
        <w:tc>
          <w:tcPr>
            <w:tcW w:w="2392"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306.74</w:t>
            </w:r>
          </w:p>
        </w:tc>
        <w:tc>
          <w:tcPr>
            <w:tcW w:w="2187"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364.35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071" w:type="dxa"/>
            <w:vAlign w:val="center"/>
          </w:tcPr>
          <w:p>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其中：办公费</w:t>
            </w:r>
          </w:p>
        </w:tc>
        <w:tc>
          <w:tcPr>
            <w:tcW w:w="1988"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23.50</w:t>
            </w:r>
          </w:p>
        </w:tc>
        <w:tc>
          <w:tcPr>
            <w:tcW w:w="2392"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p>
        </w:tc>
        <w:tc>
          <w:tcPr>
            <w:tcW w:w="2187"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3071" w:type="dxa"/>
            <w:vAlign w:val="center"/>
          </w:tcPr>
          <w:p>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印刷费</w:t>
            </w:r>
          </w:p>
        </w:tc>
        <w:tc>
          <w:tcPr>
            <w:tcW w:w="1988"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19.70</w:t>
            </w:r>
          </w:p>
        </w:tc>
        <w:tc>
          <w:tcPr>
            <w:tcW w:w="2392"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2187"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3071" w:type="dxa"/>
            <w:vAlign w:val="center"/>
          </w:tcPr>
          <w:p>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咨询费</w:t>
            </w:r>
          </w:p>
        </w:tc>
        <w:tc>
          <w:tcPr>
            <w:tcW w:w="1988"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0.08</w:t>
            </w:r>
          </w:p>
        </w:tc>
        <w:tc>
          <w:tcPr>
            <w:tcW w:w="2392"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2187"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3071" w:type="dxa"/>
            <w:vAlign w:val="center"/>
          </w:tcPr>
          <w:p>
            <w:pPr>
              <w:spacing w:line="300" w:lineRule="exact"/>
              <w:ind w:firstLine="840" w:firstLineChars="4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手续费 </w:t>
            </w:r>
          </w:p>
        </w:tc>
        <w:tc>
          <w:tcPr>
            <w:tcW w:w="1988"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2392"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2187"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3071" w:type="dxa"/>
            <w:vAlign w:val="center"/>
          </w:tcPr>
          <w:p>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水费、电费</w:t>
            </w:r>
          </w:p>
        </w:tc>
        <w:tc>
          <w:tcPr>
            <w:tcW w:w="1988"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8.76</w:t>
            </w:r>
          </w:p>
        </w:tc>
        <w:tc>
          <w:tcPr>
            <w:tcW w:w="2392"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2187"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3071" w:type="dxa"/>
            <w:vAlign w:val="center"/>
          </w:tcPr>
          <w:p>
            <w:pPr>
              <w:spacing w:line="300" w:lineRule="exact"/>
              <w:ind w:firstLine="840" w:firstLineChars="4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邮电费</w:t>
            </w:r>
          </w:p>
        </w:tc>
        <w:tc>
          <w:tcPr>
            <w:tcW w:w="1988"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1.83</w:t>
            </w:r>
          </w:p>
        </w:tc>
        <w:tc>
          <w:tcPr>
            <w:tcW w:w="2392"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2187"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3071" w:type="dxa"/>
            <w:vAlign w:val="center"/>
          </w:tcPr>
          <w:p>
            <w:pPr>
              <w:spacing w:line="300" w:lineRule="exact"/>
              <w:ind w:firstLine="840" w:firstLineChars="4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rPr>
              <w:t>物业管理费</w:t>
            </w:r>
          </w:p>
        </w:tc>
        <w:tc>
          <w:tcPr>
            <w:tcW w:w="1988"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2392"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2187"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3071" w:type="dxa"/>
            <w:vAlign w:val="center"/>
          </w:tcPr>
          <w:p>
            <w:pPr>
              <w:spacing w:line="300" w:lineRule="exact"/>
              <w:ind w:firstLine="840" w:firstLineChars="4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差旅费</w:t>
            </w:r>
          </w:p>
        </w:tc>
        <w:tc>
          <w:tcPr>
            <w:tcW w:w="1988"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30.61</w:t>
            </w:r>
          </w:p>
        </w:tc>
        <w:tc>
          <w:tcPr>
            <w:tcW w:w="2392"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2187"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9.41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071" w:type="dxa"/>
            <w:vAlign w:val="center"/>
          </w:tcPr>
          <w:p>
            <w:pPr>
              <w:spacing w:line="300" w:lineRule="exact"/>
              <w:ind w:firstLine="840" w:firstLineChars="4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维护费</w:t>
            </w:r>
          </w:p>
        </w:tc>
        <w:tc>
          <w:tcPr>
            <w:tcW w:w="1988"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6.79</w:t>
            </w:r>
          </w:p>
        </w:tc>
        <w:tc>
          <w:tcPr>
            <w:tcW w:w="2392"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2187"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071" w:type="dxa"/>
            <w:vAlign w:val="center"/>
          </w:tcPr>
          <w:p>
            <w:pPr>
              <w:spacing w:line="300" w:lineRule="exact"/>
              <w:ind w:firstLine="840" w:firstLineChars="4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会议费</w:t>
            </w:r>
          </w:p>
        </w:tc>
        <w:tc>
          <w:tcPr>
            <w:tcW w:w="1988"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6.87</w:t>
            </w:r>
          </w:p>
        </w:tc>
        <w:tc>
          <w:tcPr>
            <w:tcW w:w="2392"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2187"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071" w:type="dxa"/>
            <w:vAlign w:val="center"/>
          </w:tcPr>
          <w:p>
            <w:pPr>
              <w:spacing w:line="300" w:lineRule="exact"/>
              <w:ind w:firstLine="840" w:firstLineChars="4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培训费</w:t>
            </w:r>
          </w:p>
        </w:tc>
        <w:tc>
          <w:tcPr>
            <w:tcW w:w="1988"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2.38</w:t>
            </w:r>
          </w:p>
        </w:tc>
        <w:tc>
          <w:tcPr>
            <w:tcW w:w="2392"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2187"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071" w:type="dxa"/>
            <w:vAlign w:val="center"/>
          </w:tcPr>
          <w:p>
            <w:pPr>
              <w:spacing w:line="300" w:lineRule="exact"/>
              <w:ind w:firstLine="840" w:firstLineChars="4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公务接待费</w:t>
            </w:r>
          </w:p>
        </w:tc>
        <w:tc>
          <w:tcPr>
            <w:tcW w:w="1988"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1.69</w:t>
            </w:r>
          </w:p>
        </w:tc>
        <w:tc>
          <w:tcPr>
            <w:tcW w:w="2392"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2187"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071" w:type="dxa"/>
            <w:vAlign w:val="center"/>
          </w:tcPr>
          <w:p>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劳务费</w:t>
            </w:r>
          </w:p>
        </w:tc>
        <w:tc>
          <w:tcPr>
            <w:tcW w:w="1988"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15.15</w:t>
            </w:r>
          </w:p>
        </w:tc>
        <w:tc>
          <w:tcPr>
            <w:tcW w:w="2392"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2187"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3071" w:type="dxa"/>
            <w:vAlign w:val="center"/>
          </w:tcPr>
          <w:p>
            <w:pPr>
              <w:spacing w:line="300" w:lineRule="exact"/>
              <w:ind w:firstLine="840" w:firstLineChars="4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工会经费</w:t>
            </w:r>
          </w:p>
        </w:tc>
        <w:tc>
          <w:tcPr>
            <w:tcW w:w="1988"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20.92</w:t>
            </w:r>
          </w:p>
        </w:tc>
        <w:tc>
          <w:tcPr>
            <w:tcW w:w="2392"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2187"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3071" w:type="dxa"/>
            <w:vAlign w:val="center"/>
          </w:tcPr>
          <w:p>
            <w:pPr>
              <w:spacing w:line="300" w:lineRule="exact"/>
              <w:ind w:firstLine="840" w:firstLineChars="4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福利费</w:t>
            </w:r>
          </w:p>
        </w:tc>
        <w:tc>
          <w:tcPr>
            <w:tcW w:w="1988"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19.23</w:t>
            </w:r>
          </w:p>
        </w:tc>
        <w:tc>
          <w:tcPr>
            <w:tcW w:w="2392"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2187"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3071" w:type="dxa"/>
            <w:vAlign w:val="center"/>
          </w:tcPr>
          <w:p>
            <w:pPr>
              <w:spacing w:line="300" w:lineRule="exact"/>
              <w:ind w:firstLine="840" w:firstLineChars="4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公务用车维护</w:t>
            </w:r>
          </w:p>
        </w:tc>
        <w:tc>
          <w:tcPr>
            <w:tcW w:w="1988"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2.55</w:t>
            </w:r>
          </w:p>
        </w:tc>
        <w:tc>
          <w:tcPr>
            <w:tcW w:w="2392"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2187"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3071" w:type="dxa"/>
            <w:vAlign w:val="center"/>
          </w:tcPr>
          <w:p>
            <w:pPr>
              <w:spacing w:line="300" w:lineRule="exact"/>
              <w:ind w:firstLine="840" w:firstLineChars="4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其他交通费</w:t>
            </w:r>
          </w:p>
        </w:tc>
        <w:tc>
          <w:tcPr>
            <w:tcW w:w="1988"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67.52</w:t>
            </w:r>
          </w:p>
        </w:tc>
        <w:tc>
          <w:tcPr>
            <w:tcW w:w="2392"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2187"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3071" w:type="dxa"/>
            <w:vAlign w:val="center"/>
          </w:tcPr>
          <w:p>
            <w:pPr>
              <w:spacing w:line="300" w:lineRule="exact"/>
              <w:ind w:firstLine="840" w:firstLineChars="4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其他商品及服务</w:t>
            </w:r>
          </w:p>
        </w:tc>
        <w:tc>
          <w:tcPr>
            <w:tcW w:w="1988"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141.36</w:t>
            </w:r>
          </w:p>
        </w:tc>
        <w:tc>
          <w:tcPr>
            <w:tcW w:w="2392"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2187"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162.16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071" w:type="dxa"/>
            <w:vAlign w:val="center"/>
          </w:tcPr>
          <w:p>
            <w:pPr>
              <w:spacing w:line="300" w:lineRule="exact"/>
              <w:ind w:firstLine="840" w:firstLineChars="4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资本性支出</w:t>
            </w:r>
          </w:p>
        </w:tc>
        <w:tc>
          <w:tcPr>
            <w:tcW w:w="1988"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0.28</w:t>
            </w:r>
          </w:p>
        </w:tc>
        <w:tc>
          <w:tcPr>
            <w:tcW w:w="2392"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2187"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1" w:type="dxa"/>
            <w:vAlign w:val="center"/>
          </w:tcPr>
          <w:p>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四、政府采购金额</w:t>
            </w:r>
          </w:p>
        </w:tc>
        <w:tc>
          <w:tcPr>
            <w:tcW w:w="1988" w:type="dxa"/>
            <w:gridSpan w:val="2"/>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11.46</w:t>
            </w:r>
          </w:p>
        </w:tc>
        <w:tc>
          <w:tcPr>
            <w:tcW w:w="2392"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169.23</w:t>
            </w:r>
          </w:p>
        </w:tc>
        <w:tc>
          <w:tcPr>
            <w:tcW w:w="2187"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67.53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1" w:type="dxa"/>
            <w:vAlign w:val="center"/>
          </w:tcPr>
          <w:p>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 xml:space="preserve">五、部门基本支出预算调整 </w:t>
            </w:r>
          </w:p>
        </w:tc>
        <w:tc>
          <w:tcPr>
            <w:tcW w:w="1988"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2490.10</w:t>
            </w:r>
          </w:p>
        </w:tc>
        <w:tc>
          <w:tcPr>
            <w:tcW w:w="2392"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w:t>
            </w:r>
          </w:p>
        </w:tc>
        <w:tc>
          <w:tcPr>
            <w:tcW w:w="2187" w:type="dxa"/>
            <w:gridSpan w:val="2"/>
            <w:vAlign w:val="center"/>
          </w:tcPr>
          <w:p>
            <w:pPr>
              <w:spacing w:line="30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1209.98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3071" w:type="dxa"/>
            <w:vMerge w:val="restart"/>
            <w:vAlign w:val="center"/>
          </w:tcPr>
          <w:p>
            <w:pPr>
              <w:spacing w:line="300" w:lineRule="exact"/>
              <w:jc w:val="cente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rPr>
              <w:t>楼堂馆所控制情况</w:t>
            </w:r>
          </w:p>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（202</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年完工项目）</w:t>
            </w:r>
          </w:p>
        </w:tc>
        <w:tc>
          <w:tcPr>
            <w:tcW w:w="832" w:type="dxa"/>
            <w:vAlign w:val="center"/>
          </w:tcPr>
          <w:p>
            <w:pPr>
              <w:spacing w:line="300" w:lineRule="exact"/>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批复规模</w:t>
            </w:r>
          </w:p>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156" w:type="dxa"/>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实际规模（㎡）</w:t>
            </w:r>
          </w:p>
        </w:tc>
        <w:tc>
          <w:tcPr>
            <w:tcW w:w="1111" w:type="dxa"/>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规模控制率</w:t>
            </w:r>
          </w:p>
        </w:tc>
        <w:tc>
          <w:tcPr>
            <w:tcW w:w="1281" w:type="dxa"/>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预算投资（万元）</w:t>
            </w:r>
          </w:p>
        </w:tc>
        <w:tc>
          <w:tcPr>
            <w:tcW w:w="1080" w:type="dxa"/>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实际投资（万元）</w:t>
            </w:r>
          </w:p>
        </w:tc>
        <w:tc>
          <w:tcPr>
            <w:tcW w:w="1107" w:type="dxa"/>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投资概算控制率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3071" w:type="dxa"/>
            <w:vMerge w:val="continue"/>
            <w:vAlign w:val="center"/>
          </w:tcPr>
          <w:p>
            <w:pPr>
              <w:spacing w:line="300" w:lineRule="exact"/>
              <w:jc w:val="left"/>
              <w:rPr>
                <w:rFonts w:hint="eastAsia" w:asciiTheme="minorEastAsia" w:hAnsiTheme="minorEastAsia" w:eastAsiaTheme="minorEastAsia" w:cstheme="minorEastAsia"/>
                <w:color w:val="auto"/>
                <w:sz w:val="21"/>
                <w:szCs w:val="21"/>
                <w:highlight w:val="none"/>
              </w:rPr>
            </w:pPr>
          </w:p>
        </w:tc>
        <w:tc>
          <w:tcPr>
            <w:tcW w:w="832" w:type="dxa"/>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0</w:t>
            </w:r>
          </w:p>
        </w:tc>
        <w:tc>
          <w:tcPr>
            <w:tcW w:w="1156" w:type="dxa"/>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0</w:t>
            </w:r>
          </w:p>
        </w:tc>
        <w:tc>
          <w:tcPr>
            <w:tcW w:w="1111" w:type="dxa"/>
            <w:vAlign w:val="center"/>
          </w:tcPr>
          <w:p>
            <w:pPr>
              <w:spacing w:line="300" w:lineRule="exact"/>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w:t>
            </w:r>
          </w:p>
        </w:tc>
        <w:tc>
          <w:tcPr>
            <w:tcW w:w="1281" w:type="dxa"/>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0</w:t>
            </w:r>
          </w:p>
        </w:tc>
        <w:tc>
          <w:tcPr>
            <w:tcW w:w="1080" w:type="dxa"/>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0</w:t>
            </w:r>
          </w:p>
        </w:tc>
        <w:tc>
          <w:tcPr>
            <w:tcW w:w="1107" w:type="dxa"/>
            <w:vAlign w:val="center"/>
          </w:tcPr>
          <w:p>
            <w:pPr>
              <w:spacing w:line="300" w:lineRule="exact"/>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3071" w:type="dxa"/>
            <w:vAlign w:val="center"/>
          </w:tcPr>
          <w:p>
            <w:pPr>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厉行节约保障措施</w:t>
            </w:r>
          </w:p>
        </w:tc>
        <w:tc>
          <w:tcPr>
            <w:tcW w:w="6567" w:type="dxa"/>
            <w:gridSpan w:val="6"/>
            <w:vAlign w:val="center"/>
          </w:tcPr>
          <w:p>
            <w:pPr>
              <w:spacing w:line="3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本局在工作开展过程中，厉行节约，严格按照财务管理制度进行开支，严格执行中央“八项规定”。</w:t>
            </w:r>
          </w:p>
        </w:tc>
      </w:tr>
    </w:tbl>
    <w:p>
      <w:pPr>
        <w:spacing w:line="360" w:lineRule="exac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说明：项目支出需要填报除基本支出以外的所有项目支出情况，公用经费填报基本支出中的一般商品和服务支出。</w:t>
      </w:r>
    </w:p>
    <w:p>
      <w:pPr>
        <w:spacing w:line="360" w:lineRule="exac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单位负责人签字：         填表人：</w:t>
      </w:r>
      <w:r>
        <w:rPr>
          <w:rFonts w:hint="eastAsia" w:asciiTheme="minorEastAsia" w:hAnsiTheme="minorEastAsia" w:eastAsiaTheme="minorEastAsia" w:cstheme="minorEastAsia"/>
          <w:color w:val="auto"/>
          <w:sz w:val="21"/>
          <w:szCs w:val="21"/>
          <w:highlight w:val="none"/>
          <w:lang w:val="en-US" w:eastAsia="zh-CN"/>
        </w:rPr>
        <w:t>杨琛</w:t>
      </w:r>
      <w:r>
        <w:rPr>
          <w:rFonts w:hint="eastAsia" w:asciiTheme="minorEastAsia" w:hAnsiTheme="minorEastAsia" w:eastAsiaTheme="minorEastAsia" w:cstheme="minorEastAsia"/>
          <w:color w:val="auto"/>
          <w:sz w:val="21"/>
          <w:szCs w:val="21"/>
          <w:highlight w:val="none"/>
        </w:rPr>
        <w:t xml:space="preserve">  联系电话：</w:t>
      </w:r>
      <w:r>
        <w:rPr>
          <w:rFonts w:hint="eastAsia" w:asciiTheme="minorEastAsia" w:hAnsiTheme="minorEastAsia" w:eastAsiaTheme="minorEastAsia" w:cstheme="minorEastAsia"/>
          <w:color w:val="auto"/>
          <w:sz w:val="21"/>
          <w:szCs w:val="21"/>
          <w:highlight w:val="none"/>
          <w:lang w:val="en-US" w:eastAsia="zh-CN"/>
        </w:rPr>
        <w:t>18674340420</w:t>
      </w:r>
      <w:r>
        <w:rPr>
          <w:rFonts w:hint="eastAsia" w:asciiTheme="minorEastAsia" w:hAnsiTheme="minorEastAsia" w:eastAsiaTheme="minorEastAsia" w:cstheme="minorEastAsia"/>
          <w:color w:val="auto"/>
          <w:sz w:val="21"/>
          <w:szCs w:val="21"/>
          <w:highlight w:val="none"/>
        </w:rPr>
        <w:t xml:space="preserve">  填报日期：202</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color w:val="auto"/>
          <w:sz w:val="21"/>
          <w:szCs w:val="21"/>
          <w:highlight w:val="none"/>
          <w:lang w:val="en-US" w:eastAsia="zh-CN"/>
        </w:rPr>
        <w:t>6</w:t>
      </w:r>
      <w:r>
        <w:rPr>
          <w:rFonts w:hint="eastAsia" w:asciiTheme="minorEastAsia" w:hAnsiTheme="minorEastAsia" w:eastAsiaTheme="minorEastAsia" w:cstheme="minorEastAsia"/>
          <w:color w:val="auto"/>
          <w:sz w:val="21"/>
          <w:szCs w:val="21"/>
          <w:highlight w:val="none"/>
        </w:rPr>
        <w:t>月1</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日</w:t>
      </w:r>
    </w:p>
    <w:p>
      <w:pPr>
        <w:spacing w:before="156" w:beforeLines="5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w:t>
      </w:r>
    </w:p>
    <w:p>
      <w:pPr>
        <w:spacing w:before="156" w:beforeLines="50"/>
        <w:jc w:val="left"/>
        <w:rPr>
          <w:rFonts w:hint="eastAsia" w:asciiTheme="minorEastAsia" w:hAnsiTheme="minorEastAsia" w:eastAsiaTheme="minorEastAsia" w:cstheme="minorEastAsia"/>
          <w:color w:val="auto"/>
          <w:sz w:val="24"/>
          <w:szCs w:val="24"/>
          <w:highlight w:val="none"/>
        </w:rPr>
      </w:pPr>
    </w:p>
    <w:p>
      <w:pPr>
        <w:spacing w:before="156" w:beforeLines="50"/>
        <w:jc w:val="left"/>
        <w:rPr>
          <w:rFonts w:hint="eastAsia" w:asciiTheme="minorEastAsia" w:hAnsiTheme="minorEastAsia" w:eastAsiaTheme="minorEastAsia" w:cstheme="minorEastAsia"/>
          <w:color w:val="auto"/>
          <w:sz w:val="24"/>
          <w:szCs w:val="24"/>
          <w:highlight w:val="none"/>
        </w:rPr>
      </w:pPr>
    </w:p>
    <w:p>
      <w:pPr>
        <w:spacing w:before="156" w:beforeLines="50"/>
        <w:jc w:val="left"/>
        <w:rPr>
          <w:rFonts w:hint="eastAsia" w:asciiTheme="minorEastAsia" w:hAnsiTheme="minorEastAsia" w:eastAsiaTheme="minorEastAsia" w:cstheme="minorEastAsia"/>
          <w:color w:val="auto"/>
          <w:sz w:val="24"/>
          <w:szCs w:val="24"/>
          <w:highlight w:val="none"/>
        </w:rPr>
      </w:pPr>
    </w:p>
    <w:p>
      <w:pPr>
        <w:spacing w:before="156" w:beforeLines="50"/>
        <w:jc w:val="left"/>
        <w:rPr>
          <w:rFonts w:hint="eastAsia" w:asciiTheme="minorEastAsia" w:hAnsiTheme="minorEastAsia" w:eastAsiaTheme="minorEastAsia" w:cstheme="minorEastAsia"/>
          <w:color w:val="auto"/>
          <w:sz w:val="24"/>
          <w:szCs w:val="24"/>
          <w:highlight w:val="none"/>
        </w:rPr>
      </w:pPr>
    </w:p>
    <w:p>
      <w:pPr>
        <w:spacing w:before="156" w:beforeLines="50"/>
        <w:jc w:val="left"/>
        <w:rPr>
          <w:rFonts w:hint="eastAsia" w:asciiTheme="minorEastAsia" w:hAnsiTheme="minorEastAsia" w:eastAsiaTheme="minorEastAsia" w:cstheme="minorEastAsia"/>
          <w:color w:val="auto"/>
          <w:sz w:val="24"/>
          <w:szCs w:val="24"/>
          <w:highlight w:val="none"/>
        </w:rPr>
      </w:pPr>
    </w:p>
    <w:p>
      <w:pPr>
        <w:spacing w:before="156" w:beforeLines="50"/>
        <w:jc w:val="left"/>
        <w:rPr>
          <w:rFonts w:hint="eastAsia" w:asciiTheme="minorEastAsia" w:hAnsiTheme="minorEastAsia" w:eastAsiaTheme="minorEastAsia" w:cstheme="minorEastAsia"/>
          <w:color w:val="auto"/>
          <w:sz w:val="24"/>
          <w:szCs w:val="24"/>
          <w:highlight w:val="none"/>
        </w:rPr>
      </w:pPr>
    </w:p>
    <w:p>
      <w:pPr>
        <w:spacing w:before="156" w:beforeLines="50"/>
        <w:jc w:val="left"/>
        <w:rPr>
          <w:rFonts w:hint="eastAsia" w:asciiTheme="minorEastAsia" w:hAnsiTheme="minorEastAsia" w:eastAsiaTheme="minorEastAsia" w:cstheme="minorEastAsia"/>
          <w:color w:val="auto"/>
          <w:sz w:val="24"/>
          <w:szCs w:val="24"/>
          <w:highlight w:val="none"/>
        </w:rPr>
      </w:pPr>
    </w:p>
    <w:p>
      <w:pPr>
        <w:spacing w:before="156" w:beforeLines="50"/>
        <w:jc w:val="left"/>
        <w:rPr>
          <w:rFonts w:hint="eastAsia" w:asciiTheme="minorEastAsia" w:hAnsiTheme="minorEastAsia" w:eastAsiaTheme="minorEastAsia" w:cstheme="minorEastAsia"/>
          <w:color w:val="auto"/>
          <w:sz w:val="24"/>
          <w:szCs w:val="24"/>
          <w:highlight w:val="none"/>
        </w:rPr>
      </w:pPr>
    </w:p>
    <w:p>
      <w:pPr>
        <w:spacing w:before="156" w:beforeLines="50"/>
        <w:jc w:val="left"/>
        <w:rPr>
          <w:rFonts w:hint="eastAsia" w:asciiTheme="minorEastAsia" w:hAnsiTheme="minorEastAsia" w:eastAsiaTheme="minorEastAsia" w:cstheme="minorEastAsia"/>
          <w:color w:val="auto"/>
          <w:sz w:val="24"/>
          <w:szCs w:val="24"/>
          <w:highlight w:val="none"/>
        </w:rPr>
      </w:pPr>
    </w:p>
    <w:p>
      <w:pPr>
        <w:spacing w:before="156" w:beforeLines="50"/>
        <w:jc w:val="left"/>
        <w:rPr>
          <w:rFonts w:hint="eastAsia" w:asciiTheme="minorEastAsia" w:hAnsiTheme="minorEastAsia" w:eastAsiaTheme="minorEastAsia" w:cstheme="minorEastAsia"/>
          <w:color w:val="auto"/>
          <w:sz w:val="24"/>
          <w:szCs w:val="24"/>
          <w:highlight w:val="none"/>
        </w:rPr>
      </w:pPr>
    </w:p>
    <w:p>
      <w:pPr>
        <w:spacing w:before="156" w:beforeLines="50"/>
        <w:jc w:val="left"/>
        <w:rPr>
          <w:rFonts w:hint="eastAsia" w:asciiTheme="minorEastAsia" w:hAnsiTheme="minorEastAsia" w:eastAsiaTheme="minorEastAsia" w:cstheme="minorEastAsia"/>
          <w:color w:val="auto"/>
          <w:sz w:val="24"/>
          <w:szCs w:val="24"/>
          <w:highlight w:val="none"/>
        </w:rPr>
      </w:pPr>
    </w:p>
    <w:p>
      <w:pPr>
        <w:spacing w:before="156" w:beforeLines="50"/>
        <w:jc w:val="left"/>
        <w:rPr>
          <w:rFonts w:hint="eastAsia" w:asciiTheme="minorEastAsia" w:hAnsiTheme="minorEastAsia" w:eastAsiaTheme="minorEastAsia" w:cstheme="minorEastAsia"/>
          <w:color w:val="auto"/>
          <w:sz w:val="24"/>
          <w:szCs w:val="24"/>
          <w:highlight w:val="none"/>
        </w:rPr>
      </w:pPr>
    </w:p>
    <w:p>
      <w:pPr>
        <w:spacing w:before="156" w:beforeLines="50"/>
        <w:jc w:val="left"/>
        <w:rPr>
          <w:rFonts w:hint="eastAsia" w:asciiTheme="minorEastAsia" w:hAnsiTheme="minorEastAsia" w:eastAsiaTheme="minorEastAsia" w:cstheme="minorEastAsia"/>
          <w:color w:val="auto"/>
          <w:sz w:val="24"/>
          <w:szCs w:val="24"/>
          <w:highlight w:val="none"/>
        </w:rPr>
      </w:pPr>
    </w:p>
    <w:p>
      <w:pPr>
        <w:spacing w:before="156" w:beforeLines="50"/>
        <w:jc w:val="left"/>
        <w:rPr>
          <w:rFonts w:hint="eastAsia" w:asciiTheme="minorEastAsia" w:hAnsiTheme="minorEastAsia" w:eastAsiaTheme="minorEastAsia" w:cstheme="minorEastAsia"/>
          <w:color w:val="auto"/>
          <w:sz w:val="24"/>
          <w:szCs w:val="24"/>
          <w:highlight w:val="none"/>
        </w:rPr>
      </w:pPr>
    </w:p>
    <w:p>
      <w:pPr>
        <w:spacing w:before="156" w:beforeLines="50"/>
        <w:jc w:val="left"/>
        <w:rPr>
          <w:rFonts w:hint="eastAsia" w:asciiTheme="minorEastAsia" w:hAnsiTheme="minorEastAsia" w:eastAsiaTheme="minorEastAsia" w:cstheme="minorEastAsia"/>
          <w:color w:val="auto"/>
          <w:sz w:val="24"/>
          <w:szCs w:val="24"/>
          <w:highlight w:val="none"/>
        </w:rPr>
      </w:pPr>
    </w:p>
    <w:p>
      <w:pPr>
        <w:spacing w:before="156" w:beforeLines="50"/>
        <w:jc w:val="left"/>
        <w:rPr>
          <w:rFonts w:hint="eastAsia" w:asciiTheme="minorEastAsia" w:hAnsiTheme="minorEastAsia" w:eastAsiaTheme="minorEastAsia" w:cstheme="minorEastAsia"/>
          <w:color w:val="auto"/>
          <w:sz w:val="24"/>
          <w:szCs w:val="24"/>
          <w:highlight w:val="none"/>
        </w:rPr>
      </w:pPr>
    </w:p>
    <w:p>
      <w:pPr>
        <w:spacing w:before="156" w:beforeLines="50"/>
        <w:jc w:val="left"/>
        <w:rPr>
          <w:rFonts w:hint="eastAsia" w:asciiTheme="minorEastAsia" w:hAnsiTheme="minorEastAsia" w:eastAsiaTheme="minorEastAsia" w:cstheme="minorEastAsia"/>
          <w:color w:val="auto"/>
          <w:sz w:val="24"/>
          <w:szCs w:val="24"/>
          <w:highlight w:val="none"/>
        </w:rPr>
      </w:pPr>
    </w:p>
    <w:p>
      <w:pPr>
        <w:spacing w:before="156" w:beforeLines="50"/>
        <w:jc w:val="left"/>
        <w:rPr>
          <w:rFonts w:hint="eastAsia" w:asciiTheme="minorEastAsia" w:hAnsiTheme="minorEastAsia" w:eastAsiaTheme="minorEastAsia" w:cstheme="minorEastAsia"/>
          <w:color w:val="auto"/>
          <w:sz w:val="24"/>
          <w:szCs w:val="24"/>
          <w:highlight w:val="none"/>
        </w:rPr>
      </w:pPr>
    </w:p>
    <w:p>
      <w:pPr>
        <w:spacing w:before="156" w:beforeLines="50"/>
        <w:jc w:val="left"/>
        <w:rPr>
          <w:rFonts w:hint="eastAsia" w:asciiTheme="minorEastAsia" w:hAnsiTheme="minorEastAsia" w:eastAsiaTheme="minorEastAsia" w:cstheme="minorEastAsia"/>
          <w:color w:val="auto"/>
          <w:sz w:val="24"/>
          <w:szCs w:val="24"/>
          <w:highlight w:val="none"/>
        </w:rPr>
      </w:pPr>
    </w:p>
    <w:p>
      <w:pPr>
        <w:spacing w:before="156" w:beforeLines="50"/>
        <w:jc w:val="left"/>
        <w:rPr>
          <w:rFonts w:hint="eastAsia" w:asciiTheme="minorEastAsia" w:hAnsiTheme="minorEastAsia" w:eastAsiaTheme="minorEastAsia" w:cstheme="minorEastAsia"/>
          <w:color w:val="auto"/>
          <w:sz w:val="24"/>
          <w:szCs w:val="24"/>
          <w:highlight w:val="none"/>
        </w:rPr>
      </w:pPr>
    </w:p>
    <w:p>
      <w:pPr>
        <w:spacing w:before="156" w:beforeLines="50"/>
        <w:jc w:val="left"/>
        <w:rPr>
          <w:rFonts w:hint="eastAsia" w:asciiTheme="minorEastAsia" w:hAnsiTheme="minorEastAsia" w:eastAsiaTheme="minorEastAsia" w:cstheme="minorEastAsia"/>
          <w:color w:val="auto"/>
          <w:sz w:val="24"/>
          <w:szCs w:val="24"/>
          <w:highlight w:val="none"/>
        </w:rPr>
      </w:pPr>
    </w:p>
    <w:p>
      <w:pPr>
        <w:spacing w:before="156" w:beforeLines="50"/>
        <w:jc w:val="left"/>
        <w:rPr>
          <w:rFonts w:hint="eastAsia" w:asciiTheme="minorEastAsia" w:hAnsiTheme="minorEastAsia" w:eastAsiaTheme="minorEastAsia" w:cstheme="minorEastAsia"/>
          <w:color w:val="auto"/>
          <w:sz w:val="24"/>
          <w:szCs w:val="24"/>
          <w:highlight w:val="none"/>
        </w:rPr>
      </w:pPr>
    </w:p>
    <w:p>
      <w:pPr>
        <w:spacing w:before="156" w:beforeLines="50"/>
        <w:jc w:val="left"/>
        <w:rPr>
          <w:rFonts w:hint="eastAsia" w:asciiTheme="minorEastAsia" w:hAnsiTheme="minorEastAsia" w:eastAsiaTheme="minorEastAsia" w:cstheme="minorEastAsia"/>
          <w:color w:val="auto"/>
          <w:sz w:val="24"/>
          <w:szCs w:val="24"/>
          <w:highlight w:val="none"/>
        </w:rPr>
      </w:pPr>
    </w:p>
    <w:p>
      <w:pPr>
        <w:spacing w:before="156" w:beforeLines="50"/>
        <w:jc w:val="left"/>
        <w:rPr>
          <w:rFonts w:hint="eastAsia" w:asciiTheme="minorEastAsia" w:hAnsiTheme="minorEastAsia" w:eastAsiaTheme="minorEastAsia" w:cstheme="minorEastAsia"/>
          <w:b/>
          <w:bCs/>
          <w:color w:val="auto"/>
          <w:sz w:val="24"/>
          <w:szCs w:val="24"/>
          <w:highlight w:val="none"/>
        </w:rPr>
      </w:pPr>
    </w:p>
    <w:p>
      <w:pPr>
        <w:spacing w:before="156" w:beforeLines="50"/>
        <w:jc w:val="left"/>
        <w:rPr>
          <w:rFonts w:hint="eastAsia" w:asciiTheme="minorEastAsia" w:hAnsiTheme="minorEastAsia" w:eastAsiaTheme="minorEastAsia" w:cstheme="minorEastAsia"/>
          <w:b/>
          <w:bCs/>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rPr>
        <w:t>附件</w:t>
      </w:r>
      <w:r>
        <w:rPr>
          <w:rFonts w:hint="eastAsia" w:asciiTheme="minorEastAsia" w:hAnsiTheme="minorEastAsia" w:eastAsiaTheme="minorEastAsia" w:cstheme="minorEastAsia"/>
          <w:b/>
          <w:bCs/>
          <w:color w:val="auto"/>
          <w:sz w:val="24"/>
          <w:szCs w:val="24"/>
          <w:highlight w:val="none"/>
          <w:lang w:val="en-US" w:eastAsia="zh-CN"/>
        </w:rPr>
        <w:t>2</w:t>
      </w:r>
    </w:p>
    <w:p>
      <w:pPr>
        <w:spacing w:before="156" w:beforeLines="50" w:line="400" w:lineRule="exact"/>
        <w:jc w:val="center"/>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州级预算部门整体支出绩效自评表</w:t>
      </w:r>
    </w:p>
    <w:p>
      <w:pPr>
        <w:spacing w:line="400" w:lineRule="exact"/>
        <w:jc w:val="center"/>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（202</w:t>
      </w:r>
      <w:r>
        <w:rPr>
          <w:rFonts w:hint="eastAsia" w:asciiTheme="minorEastAsia" w:hAnsiTheme="minorEastAsia" w:eastAsiaTheme="minorEastAsia" w:cstheme="minorEastAsia"/>
          <w:b/>
          <w:bCs/>
          <w:color w:val="auto"/>
          <w:sz w:val="24"/>
          <w:szCs w:val="24"/>
          <w:highlight w:val="none"/>
          <w:lang w:val="en-US" w:eastAsia="zh-CN"/>
        </w:rPr>
        <w:t>2</w:t>
      </w:r>
      <w:r>
        <w:rPr>
          <w:rFonts w:hint="eastAsia" w:asciiTheme="minorEastAsia" w:hAnsiTheme="minorEastAsia" w:eastAsiaTheme="minorEastAsia" w:cstheme="minorEastAsia"/>
          <w:b/>
          <w:bCs/>
          <w:color w:val="auto"/>
          <w:sz w:val="24"/>
          <w:szCs w:val="24"/>
          <w:highlight w:val="none"/>
        </w:rPr>
        <w:t>年度）</w:t>
      </w:r>
    </w:p>
    <w:tbl>
      <w:tblPr>
        <w:tblStyle w:val="9"/>
        <w:tblW w:w="9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1125"/>
        <w:gridCol w:w="1074"/>
        <w:gridCol w:w="1295"/>
        <w:gridCol w:w="266"/>
        <w:gridCol w:w="1014"/>
        <w:gridCol w:w="220"/>
        <w:gridCol w:w="1100"/>
        <w:gridCol w:w="825"/>
        <w:gridCol w:w="857"/>
        <w:gridCol w:w="1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956"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州级预算部门名  称</w:t>
            </w:r>
          </w:p>
        </w:tc>
        <w:tc>
          <w:tcPr>
            <w:tcW w:w="8929" w:type="dxa"/>
            <w:gridSpan w:val="10"/>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湘西土家族苗族工业和信息化局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956" w:type="dxa"/>
            <w:vMerge w:val="restart"/>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年度预</w:t>
            </w:r>
          </w:p>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算申请（万元）</w:t>
            </w:r>
          </w:p>
        </w:tc>
        <w:tc>
          <w:tcPr>
            <w:tcW w:w="2199" w:type="dxa"/>
            <w:gridSpan w:val="2"/>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p>
        </w:tc>
        <w:tc>
          <w:tcPr>
            <w:tcW w:w="1561" w:type="dxa"/>
            <w:gridSpan w:val="2"/>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年初</w:t>
            </w:r>
          </w:p>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预算数</w:t>
            </w:r>
          </w:p>
        </w:tc>
        <w:tc>
          <w:tcPr>
            <w:tcW w:w="1234" w:type="dxa"/>
            <w:gridSpan w:val="2"/>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全年</w:t>
            </w:r>
          </w:p>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预算数</w:t>
            </w:r>
          </w:p>
        </w:tc>
        <w:tc>
          <w:tcPr>
            <w:tcW w:w="1100"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全年</w:t>
            </w:r>
          </w:p>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执行数</w:t>
            </w:r>
          </w:p>
        </w:tc>
        <w:tc>
          <w:tcPr>
            <w:tcW w:w="825"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分值</w:t>
            </w:r>
          </w:p>
        </w:tc>
        <w:tc>
          <w:tcPr>
            <w:tcW w:w="857"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执行率</w:t>
            </w:r>
          </w:p>
        </w:tc>
        <w:tc>
          <w:tcPr>
            <w:tcW w:w="1153"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2199" w:type="dxa"/>
            <w:gridSpan w:val="2"/>
            <w:vAlign w:val="center"/>
          </w:tcPr>
          <w:p>
            <w:pPr>
              <w:spacing w:line="260" w:lineRule="exac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年度资金总额</w:t>
            </w:r>
          </w:p>
        </w:tc>
        <w:tc>
          <w:tcPr>
            <w:tcW w:w="1561" w:type="dxa"/>
            <w:gridSpan w:val="2"/>
            <w:vAlign w:val="center"/>
          </w:tcPr>
          <w:p>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1761.31</w:t>
            </w:r>
          </w:p>
        </w:tc>
        <w:tc>
          <w:tcPr>
            <w:tcW w:w="1234" w:type="dxa"/>
            <w:gridSpan w:val="2"/>
            <w:vAlign w:val="center"/>
          </w:tcPr>
          <w:p>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8988.94</w:t>
            </w:r>
          </w:p>
        </w:tc>
        <w:tc>
          <w:tcPr>
            <w:tcW w:w="1100" w:type="dxa"/>
            <w:vAlign w:val="center"/>
          </w:tcPr>
          <w:p>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8982.84</w:t>
            </w:r>
          </w:p>
        </w:tc>
        <w:tc>
          <w:tcPr>
            <w:tcW w:w="825"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10</w:t>
            </w:r>
          </w:p>
        </w:tc>
        <w:tc>
          <w:tcPr>
            <w:tcW w:w="857"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99.93</w:t>
            </w:r>
            <w:r>
              <w:rPr>
                <w:rFonts w:hint="eastAsia" w:asciiTheme="minorEastAsia" w:hAnsiTheme="minorEastAsia" w:eastAsiaTheme="minorEastAsia" w:cstheme="minorEastAsia"/>
                <w:color w:val="auto"/>
                <w:sz w:val="21"/>
                <w:szCs w:val="21"/>
                <w:highlight w:val="none"/>
              </w:rPr>
              <w:t>%</w:t>
            </w:r>
          </w:p>
        </w:tc>
        <w:tc>
          <w:tcPr>
            <w:tcW w:w="1153" w:type="dxa"/>
            <w:vAlign w:val="center"/>
          </w:tcPr>
          <w:p>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2199" w:type="dxa"/>
            <w:gridSpan w:val="2"/>
            <w:vAlign w:val="center"/>
          </w:tcPr>
          <w:p>
            <w:pPr>
              <w:spacing w:line="26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按收入性质分：</w:t>
            </w:r>
          </w:p>
        </w:tc>
        <w:tc>
          <w:tcPr>
            <w:tcW w:w="1561" w:type="dxa"/>
            <w:gridSpan w:val="2"/>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p>
        </w:tc>
        <w:tc>
          <w:tcPr>
            <w:tcW w:w="1234" w:type="dxa"/>
            <w:gridSpan w:val="2"/>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p>
        </w:tc>
        <w:tc>
          <w:tcPr>
            <w:tcW w:w="1100"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p>
        </w:tc>
        <w:tc>
          <w:tcPr>
            <w:tcW w:w="825"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857"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153"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2199" w:type="dxa"/>
            <w:gridSpan w:val="2"/>
            <w:vAlign w:val="center"/>
          </w:tcPr>
          <w:p>
            <w:pPr>
              <w:spacing w:line="26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一般公共预算</w:t>
            </w:r>
          </w:p>
        </w:tc>
        <w:tc>
          <w:tcPr>
            <w:tcW w:w="1561" w:type="dxa"/>
            <w:gridSpan w:val="2"/>
            <w:vAlign w:val="center"/>
          </w:tcPr>
          <w:p>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1761.31</w:t>
            </w:r>
          </w:p>
        </w:tc>
        <w:tc>
          <w:tcPr>
            <w:tcW w:w="1234" w:type="dxa"/>
            <w:gridSpan w:val="2"/>
            <w:vAlign w:val="center"/>
          </w:tcPr>
          <w:p>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7650.85</w:t>
            </w:r>
          </w:p>
        </w:tc>
        <w:tc>
          <w:tcPr>
            <w:tcW w:w="1100" w:type="dxa"/>
            <w:vAlign w:val="center"/>
          </w:tcPr>
          <w:p>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7650.85</w:t>
            </w:r>
          </w:p>
        </w:tc>
        <w:tc>
          <w:tcPr>
            <w:tcW w:w="825"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857"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153"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2199" w:type="dxa"/>
            <w:gridSpan w:val="2"/>
            <w:vAlign w:val="center"/>
          </w:tcPr>
          <w:p>
            <w:pPr>
              <w:spacing w:line="260" w:lineRule="exact"/>
              <w:ind w:firstLine="210" w:firstLineChars="100"/>
              <w:jc w:val="left"/>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国有资本经营预算财政拨款收入</w:t>
            </w:r>
          </w:p>
        </w:tc>
        <w:tc>
          <w:tcPr>
            <w:tcW w:w="1561" w:type="dxa"/>
            <w:gridSpan w:val="2"/>
            <w:vAlign w:val="center"/>
          </w:tcPr>
          <w:p>
            <w:pPr>
              <w:spacing w:line="260" w:lineRule="exact"/>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0</w:t>
            </w:r>
          </w:p>
        </w:tc>
        <w:tc>
          <w:tcPr>
            <w:tcW w:w="1234" w:type="dxa"/>
            <w:gridSpan w:val="2"/>
            <w:vAlign w:val="center"/>
          </w:tcPr>
          <w:p>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8.54</w:t>
            </w:r>
          </w:p>
        </w:tc>
        <w:tc>
          <w:tcPr>
            <w:tcW w:w="1100" w:type="dxa"/>
            <w:vAlign w:val="center"/>
          </w:tcPr>
          <w:p>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8.54</w:t>
            </w:r>
          </w:p>
        </w:tc>
        <w:tc>
          <w:tcPr>
            <w:tcW w:w="825"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857"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153"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2199" w:type="dxa"/>
            <w:gridSpan w:val="2"/>
            <w:vAlign w:val="center"/>
          </w:tcPr>
          <w:p>
            <w:pPr>
              <w:spacing w:line="260" w:lineRule="exact"/>
              <w:ind w:firstLine="210" w:firstLineChars="1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事业收入</w:t>
            </w:r>
          </w:p>
        </w:tc>
        <w:tc>
          <w:tcPr>
            <w:tcW w:w="1561" w:type="dxa"/>
            <w:gridSpan w:val="2"/>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0</w:t>
            </w:r>
          </w:p>
        </w:tc>
        <w:tc>
          <w:tcPr>
            <w:tcW w:w="1234" w:type="dxa"/>
            <w:gridSpan w:val="2"/>
            <w:vAlign w:val="center"/>
          </w:tcPr>
          <w:p>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26.57</w:t>
            </w:r>
          </w:p>
        </w:tc>
        <w:tc>
          <w:tcPr>
            <w:tcW w:w="1100" w:type="dxa"/>
            <w:vAlign w:val="center"/>
          </w:tcPr>
          <w:p>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26.57</w:t>
            </w:r>
          </w:p>
        </w:tc>
        <w:tc>
          <w:tcPr>
            <w:tcW w:w="825"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857"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153"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2199" w:type="dxa"/>
            <w:gridSpan w:val="2"/>
            <w:vAlign w:val="center"/>
          </w:tcPr>
          <w:p>
            <w:pPr>
              <w:spacing w:line="260" w:lineRule="exact"/>
              <w:ind w:firstLine="210" w:firstLineChars="1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其他资金</w:t>
            </w:r>
          </w:p>
        </w:tc>
        <w:tc>
          <w:tcPr>
            <w:tcW w:w="1561" w:type="dxa"/>
            <w:gridSpan w:val="2"/>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0</w:t>
            </w:r>
          </w:p>
        </w:tc>
        <w:tc>
          <w:tcPr>
            <w:tcW w:w="1234" w:type="dxa"/>
            <w:gridSpan w:val="2"/>
            <w:vAlign w:val="center"/>
          </w:tcPr>
          <w:p>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1099.76</w:t>
            </w:r>
          </w:p>
        </w:tc>
        <w:tc>
          <w:tcPr>
            <w:tcW w:w="1100" w:type="dxa"/>
            <w:vAlign w:val="center"/>
          </w:tcPr>
          <w:p>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1099.76</w:t>
            </w:r>
          </w:p>
        </w:tc>
        <w:tc>
          <w:tcPr>
            <w:tcW w:w="825"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857"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153"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2199" w:type="dxa"/>
            <w:gridSpan w:val="2"/>
            <w:vAlign w:val="center"/>
          </w:tcPr>
          <w:p>
            <w:pPr>
              <w:pStyle w:val="5"/>
              <w:snapToGrid/>
              <w:spacing w:line="260" w:lineRule="exact"/>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按支出性质分：</w:t>
            </w:r>
          </w:p>
        </w:tc>
        <w:tc>
          <w:tcPr>
            <w:tcW w:w="1561" w:type="dxa"/>
            <w:gridSpan w:val="2"/>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p>
        </w:tc>
        <w:tc>
          <w:tcPr>
            <w:tcW w:w="1234" w:type="dxa"/>
            <w:gridSpan w:val="2"/>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p>
        </w:tc>
        <w:tc>
          <w:tcPr>
            <w:tcW w:w="1100"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p>
        </w:tc>
        <w:tc>
          <w:tcPr>
            <w:tcW w:w="825"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857"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153"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2199" w:type="dxa"/>
            <w:gridSpan w:val="2"/>
            <w:vAlign w:val="center"/>
          </w:tcPr>
          <w:p>
            <w:pPr>
              <w:spacing w:line="260" w:lineRule="exact"/>
              <w:ind w:firstLine="210" w:firstLineChars="1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基本支出</w:t>
            </w:r>
          </w:p>
        </w:tc>
        <w:tc>
          <w:tcPr>
            <w:tcW w:w="1561" w:type="dxa"/>
            <w:gridSpan w:val="2"/>
            <w:vAlign w:val="center"/>
          </w:tcPr>
          <w:p>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1317.72</w:t>
            </w:r>
          </w:p>
        </w:tc>
        <w:tc>
          <w:tcPr>
            <w:tcW w:w="1234" w:type="dxa"/>
            <w:gridSpan w:val="2"/>
            <w:vAlign w:val="center"/>
          </w:tcPr>
          <w:p>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2834.44</w:t>
            </w:r>
          </w:p>
        </w:tc>
        <w:tc>
          <w:tcPr>
            <w:tcW w:w="1100" w:type="dxa"/>
            <w:vAlign w:val="center"/>
          </w:tcPr>
          <w:p>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2834.44</w:t>
            </w:r>
          </w:p>
        </w:tc>
        <w:tc>
          <w:tcPr>
            <w:tcW w:w="825"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857"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153"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2199" w:type="dxa"/>
            <w:gridSpan w:val="2"/>
            <w:vAlign w:val="center"/>
          </w:tcPr>
          <w:p>
            <w:pPr>
              <w:spacing w:line="260" w:lineRule="exact"/>
              <w:ind w:firstLine="210" w:firstLineChars="1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项目支出</w:t>
            </w:r>
          </w:p>
        </w:tc>
        <w:tc>
          <w:tcPr>
            <w:tcW w:w="1561" w:type="dxa"/>
            <w:gridSpan w:val="2"/>
            <w:vAlign w:val="center"/>
          </w:tcPr>
          <w:p>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136.85</w:t>
            </w:r>
          </w:p>
        </w:tc>
        <w:tc>
          <w:tcPr>
            <w:tcW w:w="1234" w:type="dxa"/>
            <w:gridSpan w:val="2"/>
            <w:vAlign w:val="center"/>
          </w:tcPr>
          <w:p>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6154.50</w:t>
            </w:r>
          </w:p>
        </w:tc>
        <w:tc>
          <w:tcPr>
            <w:tcW w:w="1100" w:type="dxa"/>
            <w:vAlign w:val="center"/>
          </w:tcPr>
          <w:p>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6148.40</w:t>
            </w:r>
          </w:p>
        </w:tc>
        <w:tc>
          <w:tcPr>
            <w:tcW w:w="825"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857"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153"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restart"/>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年度总体目标</w:t>
            </w:r>
          </w:p>
        </w:tc>
        <w:tc>
          <w:tcPr>
            <w:tcW w:w="3760" w:type="dxa"/>
            <w:gridSpan w:val="4"/>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预期目标</w:t>
            </w:r>
          </w:p>
        </w:tc>
        <w:tc>
          <w:tcPr>
            <w:tcW w:w="5169" w:type="dxa"/>
            <w:gridSpan w:val="6"/>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实际完成情况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3760" w:type="dxa"/>
            <w:gridSpan w:val="4"/>
            <w:vAlign w:val="center"/>
          </w:tcPr>
          <w:p>
            <w:pPr>
              <w:spacing w:line="260" w:lineRule="exact"/>
              <w:ind w:right="5" w:firstLine="210" w:firstLineChars="1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全州规模工业增加值增长8%以上，制造业占规模工业增加值的比重提高3个百分点，工业投资及技改投资均增长10%以上，全年实施100个左右投资500万元以上的技改项目。</w:t>
            </w:r>
          </w:p>
        </w:tc>
        <w:tc>
          <w:tcPr>
            <w:tcW w:w="5169" w:type="dxa"/>
            <w:gridSpan w:val="6"/>
            <w:vAlign w:val="center"/>
          </w:tcPr>
          <w:p>
            <w:pPr>
              <w:spacing w:line="260" w:lineRule="exact"/>
              <w:ind w:right="5"/>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2022年全州工业经济呈现高开低走、承压前行的运行态势。规模工业增加值同比增长0.1%；制造业增加值占GDP的比重17%，同比提高0.2个百分点</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工业投资增长10.1%</w:t>
            </w:r>
            <w:r>
              <w:rPr>
                <w:rFonts w:hint="eastAsia" w:asciiTheme="minorEastAsia" w:hAnsiTheme="minorEastAsia" w:eastAsiaTheme="minorEastAsia" w:cstheme="minorEastAsia"/>
                <w:color w:val="auto"/>
                <w:sz w:val="21"/>
                <w:szCs w:val="21"/>
                <w:highlight w:val="none"/>
                <w:lang w:eastAsia="zh-CN"/>
              </w:rPr>
              <w:t>；全州动态调度的100个工业项目中年内建成投产33个。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6" w:type="dxa"/>
            <w:vMerge w:val="restart"/>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 xml:space="preserve"> 绩</w:t>
            </w:r>
          </w:p>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效</w:t>
            </w:r>
          </w:p>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指</w:t>
            </w:r>
          </w:p>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 xml:space="preserve">标 </w:t>
            </w:r>
          </w:p>
        </w:tc>
        <w:tc>
          <w:tcPr>
            <w:tcW w:w="1125" w:type="dxa"/>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一级指标</w:t>
            </w:r>
          </w:p>
        </w:tc>
        <w:tc>
          <w:tcPr>
            <w:tcW w:w="1074" w:type="dxa"/>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二级指标</w:t>
            </w:r>
          </w:p>
        </w:tc>
        <w:tc>
          <w:tcPr>
            <w:tcW w:w="1295" w:type="dxa"/>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三级指标</w:t>
            </w:r>
          </w:p>
        </w:tc>
        <w:tc>
          <w:tcPr>
            <w:tcW w:w="1280" w:type="dxa"/>
            <w:gridSpan w:val="2"/>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年度</w:t>
            </w:r>
          </w:p>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指标值</w:t>
            </w:r>
          </w:p>
        </w:tc>
        <w:tc>
          <w:tcPr>
            <w:tcW w:w="1320" w:type="dxa"/>
            <w:gridSpan w:val="2"/>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实际</w:t>
            </w:r>
          </w:p>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完成值</w:t>
            </w:r>
          </w:p>
        </w:tc>
        <w:tc>
          <w:tcPr>
            <w:tcW w:w="825" w:type="dxa"/>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分值</w:t>
            </w:r>
          </w:p>
        </w:tc>
        <w:tc>
          <w:tcPr>
            <w:tcW w:w="857" w:type="dxa"/>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得分</w:t>
            </w:r>
          </w:p>
        </w:tc>
        <w:tc>
          <w:tcPr>
            <w:tcW w:w="1153" w:type="dxa"/>
          </w:tcPr>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偏差原因</w:t>
            </w:r>
          </w:p>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分析及</w:t>
            </w:r>
          </w:p>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b/>
                <w:bCs/>
                <w:color w:val="auto"/>
                <w:sz w:val="21"/>
                <w:szCs w:val="21"/>
                <w:highlight w:val="none"/>
              </w:rPr>
            </w:pPr>
          </w:p>
        </w:tc>
        <w:tc>
          <w:tcPr>
            <w:tcW w:w="1125" w:type="dxa"/>
            <w:vMerge w:val="restart"/>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产出指标</w:t>
            </w:r>
          </w:p>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(50分)</w:t>
            </w:r>
          </w:p>
        </w:tc>
        <w:tc>
          <w:tcPr>
            <w:tcW w:w="1074" w:type="dxa"/>
            <w:vMerge w:val="restart"/>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数量</w:t>
            </w:r>
          </w:p>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指标</w:t>
            </w:r>
          </w:p>
        </w:tc>
        <w:tc>
          <w:tcPr>
            <w:tcW w:w="1295"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工业增加值</w:t>
            </w:r>
          </w:p>
        </w:tc>
        <w:tc>
          <w:tcPr>
            <w:tcW w:w="1280"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增加值增长8%</w:t>
            </w:r>
          </w:p>
        </w:tc>
        <w:tc>
          <w:tcPr>
            <w:tcW w:w="1320" w:type="dxa"/>
            <w:gridSpan w:val="2"/>
            <w:vAlign w:val="center"/>
          </w:tcPr>
          <w:p>
            <w:pPr>
              <w:widowControl/>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0.1%</w:t>
            </w:r>
          </w:p>
        </w:tc>
        <w:tc>
          <w:tcPr>
            <w:tcW w:w="825" w:type="dxa"/>
            <w:vAlign w:val="center"/>
          </w:tcPr>
          <w:p>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5</w:t>
            </w:r>
          </w:p>
        </w:tc>
        <w:tc>
          <w:tcPr>
            <w:tcW w:w="85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val="en-US" w:eastAsia="zh-CN" w:bidi="ar"/>
              </w:rPr>
              <w:t>2</w:t>
            </w:r>
          </w:p>
        </w:tc>
        <w:tc>
          <w:tcPr>
            <w:tcW w:w="1153"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b/>
                <w:bCs/>
                <w:color w:val="auto"/>
                <w:sz w:val="21"/>
                <w:szCs w:val="21"/>
                <w:highlight w:val="none"/>
              </w:rPr>
            </w:pPr>
          </w:p>
        </w:tc>
        <w:tc>
          <w:tcPr>
            <w:tcW w:w="1125" w:type="dxa"/>
            <w:vMerge w:val="continue"/>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p>
        </w:tc>
        <w:tc>
          <w:tcPr>
            <w:tcW w:w="1074" w:type="dxa"/>
            <w:vMerge w:val="continue"/>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p>
        </w:tc>
        <w:tc>
          <w:tcPr>
            <w:tcW w:w="1295"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新增入规企业</w:t>
            </w:r>
          </w:p>
        </w:tc>
        <w:tc>
          <w:tcPr>
            <w:tcW w:w="1280" w:type="dxa"/>
            <w:gridSpan w:val="2"/>
            <w:vAlign w:val="center"/>
          </w:tcPr>
          <w:p>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达</w:t>
            </w:r>
            <w:r>
              <w:rPr>
                <w:rFonts w:hint="eastAsia" w:asciiTheme="minorEastAsia" w:hAnsiTheme="minorEastAsia" w:eastAsiaTheme="minorEastAsia" w:cstheme="minorEastAsia"/>
                <w:color w:val="auto"/>
                <w:kern w:val="0"/>
                <w:sz w:val="21"/>
                <w:szCs w:val="21"/>
                <w:highlight w:val="none"/>
                <w:lang w:val="en-US" w:eastAsia="zh-CN" w:bidi="ar"/>
              </w:rPr>
              <w:t>35</w:t>
            </w:r>
            <w:r>
              <w:rPr>
                <w:rFonts w:hint="eastAsia" w:asciiTheme="minorEastAsia" w:hAnsiTheme="minorEastAsia" w:eastAsiaTheme="minorEastAsia" w:cstheme="minorEastAsia"/>
                <w:color w:val="auto"/>
                <w:kern w:val="0"/>
                <w:sz w:val="21"/>
                <w:szCs w:val="21"/>
                <w:highlight w:val="none"/>
                <w:lang w:bidi="ar"/>
              </w:rPr>
              <w:t>家</w:t>
            </w:r>
          </w:p>
        </w:tc>
        <w:tc>
          <w:tcPr>
            <w:tcW w:w="1320" w:type="dxa"/>
            <w:gridSpan w:val="2"/>
            <w:vAlign w:val="center"/>
          </w:tcPr>
          <w:p>
            <w:pPr>
              <w:widowControl/>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35</w:t>
            </w:r>
            <w:r>
              <w:rPr>
                <w:rFonts w:hint="eastAsia" w:asciiTheme="minorEastAsia" w:hAnsiTheme="minorEastAsia" w:eastAsiaTheme="minorEastAsia" w:cstheme="minorEastAsia"/>
                <w:color w:val="auto"/>
                <w:kern w:val="0"/>
                <w:sz w:val="21"/>
                <w:szCs w:val="21"/>
                <w:highlight w:val="none"/>
                <w:lang w:bidi="ar"/>
              </w:rPr>
              <w:t>家</w:t>
            </w:r>
          </w:p>
        </w:tc>
        <w:tc>
          <w:tcPr>
            <w:tcW w:w="825"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w:t>
            </w:r>
          </w:p>
        </w:tc>
        <w:tc>
          <w:tcPr>
            <w:tcW w:w="857" w:type="dxa"/>
            <w:vAlign w:val="center"/>
          </w:tcPr>
          <w:p>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5</w:t>
            </w:r>
          </w:p>
        </w:tc>
        <w:tc>
          <w:tcPr>
            <w:tcW w:w="1153" w:type="dxa"/>
            <w:vAlign w:val="center"/>
          </w:tcPr>
          <w:p>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b/>
                <w:bCs/>
                <w:color w:val="auto"/>
                <w:sz w:val="21"/>
                <w:szCs w:val="21"/>
                <w:highlight w:val="none"/>
              </w:rPr>
            </w:pPr>
          </w:p>
        </w:tc>
        <w:tc>
          <w:tcPr>
            <w:tcW w:w="1125" w:type="dxa"/>
            <w:vMerge w:val="continue"/>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p>
        </w:tc>
        <w:tc>
          <w:tcPr>
            <w:tcW w:w="1074" w:type="dxa"/>
            <w:vMerge w:val="continue"/>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p>
        </w:tc>
        <w:tc>
          <w:tcPr>
            <w:tcW w:w="1295" w:type="dxa"/>
            <w:vAlign w:val="center"/>
          </w:tcPr>
          <w:p>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招商引资项目</w:t>
            </w:r>
          </w:p>
        </w:tc>
        <w:tc>
          <w:tcPr>
            <w:tcW w:w="1280" w:type="dxa"/>
            <w:gridSpan w:val="2"/>
            <w:vAlign w:val="center"/>
          </w:tcPr>
          <w:p>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30个</w:t>
            </w:r>
          </w:p>
        </w:tc>
        <w:tc>
          <w:tcPr>
            <w:tcW w:w="1320" w:type="dxa"/>
            <w:gridSpan w:val="2"/>
            <w:vAlign w:val="center"/>
          </w:tcPr>
          <w:p>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val="en-US" w:eastAsia="zh-CN" w:bidi="ar"/>
              </w:rPr>
              <w:t>40</w:t>
            </w:r>
            <w:r>
              <w:rPr>
                <w:rFonts w:hint="eastAsia" w:asciiTheme="minorEastAsia" w:hAnsiTheme="minorEastAsia" w:eastAsiaTheme="minorEastAsia" w:cstheme="minorEastAsia"/>
                <w:color w:val="auto"/>
                <w:kern w:val="0"/>
                <w:sz w:val="21"/>
                <w:szCs w:val="21"/>
                <w:highlight w:val="none"/>
                <w:lang w:bidi="ar"/>
              </w:rPr>
              <w:t>个</w:t>
            </w:r>
          </w:p>
        </w:tc>
        <w:tc>
          <w:tcPr>
            <w:tcW w:w="825"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857" w:type="dxa"/>
            <w:vAlign w:val="center"/>
          </w:tcPr>
          <w:p>
            <w:pPr>
              <w:widowControl/>
              <w:jc w:val="center"/>
              <w:textAlignment w:val="center"/>
              <w:rPr>
                <w:rFonts w:hint="eastAsia" w:asciiTheme="minorEastAsia" w:hAnsiTheme="minorEastAsia" w:eastAsiaTheme="minorEastAsia" w:cstheme="minorEastAsia"/>
                <w:color w:val="auto"/>
                <w:kern w:val="0"/>
                <w:sz w:val="21"/>
                <w:szCs w:val="21"/>
                <w:highlight w:val="none"/>
                <w:lang w:eastAsia="zh-CN" w:bidi="ar"/>
              </w:rPr>
            </w:pPr>
            <w:r>
              <w:rPr>
                <w:rFonts w:hint="eastAsia" w:asciiTheme="minorEastAsia" w:hAnsiTheme="minorEastAsia" w:eastAsiaTheme="minorEastAsia" w:cstheme="minorEastAsia"/>
                <w:color w:val="auto"/>
                <w:kern w:val="0"/>
                <w:sz w:val="21"/>
                <w:szCs w:val="21"/>
                <w:highlight w:val="none"/>
                <w:lang w:val="en-US" w:eastAsia="zh-CN" w:bidi="ar"/>
              </w:rPr>
              <w:t>2</w:t>
            </w:r>
          </w:p>
        </w:tc>
        <w:tc>
          <w:tcPr>
            <w:tcW w:w="1153" w:type="dxa"/>
            <w:vAlign w:val="center"/>
          </w:tcPr>
          <w:p>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b/>
                <w:bCs/>
                <w:color w:val="auto"/>
                <w:sz w:val="21"/>
                <w:szCs w:val="21"/>
                <w:highlight w:val="none"/>
              </w:rPr>
            </w:pPr>
          </w:p>
        </w:tc>
        <w:tc>
          <w:tcPr>
            <w:tcW w:w="1125" w:type="dxa"/>
            <w:vMerge w:val="continue"/>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p>
        </w:tc>
        <w:tc>
          <w:tcPr>
            <w:tcW w:w="1074" w:type="dxa"/>
            <w:vMerge w:val="continue"/>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p>
        </w:tc>
        <w:tc>
          <w:tcPr>
            <w:tcW w:w="1295" w:type="dxa"/>
            <w:vAlign w:val="center"/>
          </w:tcPr>
          <w:p>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val="en-US" w:eastAsia="zh-CN" w:bidi="ar"/>
              </w:rPr>
              <w:t>招商项目的</w:t>
            </w:r>
            <w:r>
              <w:rPr>
                <w:rFonts w:hint="eastAsia" w:asciiTheme="minorEastAsia" w:hAnsiTheme="minorEastAsia" w:eastAsiaTheme="minorEastAsia" w:cstheme="minorEastAsia"/>
                <w:color w:val="auto"/>
                <w:kern w:val="0"/>
                <w:sz w:val="21"/>
                <w:szCs w:val="21"/>
                <w:highlight w:val="none"/>
                <w:lang w:bidi="ar"/>
              </w:rPr>
              <w:t>合同或协议投资额</w:t>
            </w:r>
          </w:p>
        </w:tc>
        <w:tc>
          <w:tcPr>
            <w:tcW w:w="1280"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bidi="ar"/>
              </w:rPr>
              <w:t>80</w:t>
            </w:r>
            <w:r>
              <w:rPr>
                <w:rFonts w:hint="eastAsia" w:asciiTheme="minorEastAsia" w:hAnsiTheme="minorEastAsia" w:eastAsiaTheme="minorEastAsia" w:cstheme="minorEastAsia"/>
                <w:color w:val="auto"/>
                <w:kern w:val="0"/>
                <w:sz w:val="21"/>
                <w:szCs w:val="21"/>
                <w:highlight w:val="none"/>
                <w:lang w:bidi="ar"/>
              </w:rPr>
              <w:t>亿</w:t>
            </w:r>
          </w:p>
        </w:tc>
        <w:tc>
          <w:tcPr>
            <w:tcW w:w="1320" w:type="dxa"/>
            <w:gridSpan w:val="2"/>
            <w:vAlign w:val="center"/>
          </w:tcPr>
          <w:p>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val="en-US" w:eastAsia="zh-CN" w:bidi="ar"/>
              </w:rPr>
              <w:t>102.55</w:t>
            </w:r>
            <w:r>
              <w:rPr>
                <w:rFonts w:hint="eastAsia" w:asciiTheme="minorEastAsia" w:hAnsiTheme="minorEastAsia" w:eastAsiaTheme="minorEastAsia" w:cstheme="minorEastAsia"/>
                <w:color w:val="auto"/>
                <w:kern w:val="0"/>
                <w:sz w:val="21"/>
                <w:szCs w:val="21"/>
                <w:highlight w:val="none"/>
                <w:lang w:bidi="ar"/>
              </w:rPr>
              <w:t>亿元</w:t>
            </w:r>
          </w:p>
        </w:tc>
        <w:tc>
          <w:tcPr>
            <w:tcW w:w="825"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c>
          <w:tcPr>
            <w:tcW w:w="85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3</w:t>
            </w:r>
          </w:p>
        </w:tc>
        <w:tc>
          <w:tcPr>
            <w:tcW w:w="1153"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b/>
                <w:bCs/>
                <w:color w:val="auto"/>
                <w:sz w:val="21"/>
                <w:szCs w:val="21"/>
                <w:highlight w:val="none"/>
              </w:rPr>
            </w:pPr>
          </w:p>
        </w:tc>
        <w:tc>
          <w:tcPr>
            <w:tcW w:w="1125" w:type="dxa"/>
            <w:vMerge w:val="continue"/>
            <w:vAlign w:val="center"/>
          </w:tcPr>
          <w:p>
            <w:pPr>
              <w:spacing w:line="260" w:lineRule="exact"/>
              <w:jc w:val="left"/>
              <w:rPr>
                <w:rFonts w:hint="eastAsia" w:asciiTheme="minorEastAsia" w:hAnsiTheme="minorEastAsia" w:eastAsiaTheme="minorEastAsia" w:cstheme="minorEastAsia"/>
                <w:b/>
                <w:bCs/>
                <w:color w:val="auto"/>
                <w:sz w:val="21"/>
                <w:szCs w:val="21"/>
                <w:highlight w:val="none"/>
              </w:rPr>
            </w:pPr>
          </w:p>
        </w:tc>
        <w:tc>
          <w:tcPr>
            <w:tcW w:w="1074" w:type="dxa"/>
            <w:vMerge w:val="restart"/>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质量</w:t>
            </w:r>
          </w:p>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指标</w:t>
            </w:r>
          </w:p>
        </w:tc>
        <w:tc>
          <w:tcPr>
            <w:tcW w:w="1295"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预算资金使用到位率</w:t>
            </w:r>
          </w:p>
        </w:tc>
        <w:tc>
          <w:tcPr>
            <w:tcW w:w="1280"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100%</w:t>
            </w:r>
          </w:p>
        </w:tc>
        <w:tc>
          <w:tcPr>
            <w:tcW w:w="1320"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bidi="ar"/>
              </w:rPr>
              <w:t>99.93</w:t>
            </w:r>
            <w:r>
              <w:rPr>
                <w:rFonts w:hint="eastAsia" w:asciiTheme="minorEastAsia" w:hAnsiTheme="minorEastAsia" w:eastAsiaTheme="minorEastAsia" w:cstheme="minorEastAsia"/>
                <w:color w:val="auto"/>
                <w:kern w:val="0"/>
                <w:sz w:val="21"/>
                <w:szCs w:val="21"/>
                <w:highlight w:val="none"/>
                <w:lang w:bidi="ar"/>
              </w:rPr>
              <w:t>%</w:t>
            </w:r>
          </w:p>
        </w:tc>
        <w:tc>
          <w:tcPr>
            <w:tcW w:w="825"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val="en-US" w:eastAsia="zh-CN" w:bidi="ar"/>
              </w:rPr>
              <w:t>5</w:t>
            </w:r>
          </w:p>
        </w:tc>
        <w:tc>
          <w:tcPr>
            <w:tcW w:w="85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val="en-US" w:eastAsia="zh-CN" w:bidi="ar"/>
              </w:rPr>
              <w:t>5</w:t>
            </w:r>
          </w:p>
        </w:tc>
        <w:tc>
          <w:tcPr>
            <w:tcW w:w="1153"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125"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074" w:type="dxa"/>
            <w:vMerge w:val="continue"/>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p>
        </w:tc>
        <w:tc>
          <w:tcPr>
            <w:tcW w:w="1295" w:type="dxa"/>
            <w:vAlign w:val="center"/>
          </w:tcPr>
          <w:p>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“纾困增效”行动</w:t>
            </w:r>
          </w:p>
        </w:tc>
        <w:tc>
          <w:tcPr>
            <w:tcW w:w="1280" w:type="dxa"/>
            <w:gridSpan w:val="2"/>
            <w:vAlign w:val="center"/>
          </w:tcPr>
          <w:p>
            <w:pPr>
              <w:widowControl/>
              <w:jc w:val="center"/>
              <w:textAlignment w:val="center"/>
              <w:rPr>
                <w:rFonts w:hint="default" w:asciiTheme="minorEastAsia" w:hAnsiTheme="minorEastAsia" w:eastAsiaTheme="minorEastAsia" w:cstheme="minorEastAsia"/>
                <w:color w:val="auto"/>
                <w:kern w:val="0"/>
                <w:sz w:val="21"/>
                <w:szCs w:val="21"/>
                <w:highlight w:val="none"/>
                <w:lang w:val="en-US" w:bidi="ar"/>
              </w:rPr>
            </w:pPr>
            <w:r>
              <w:rPr>
                <w:rFonts w:hint="eastAsia" w:asciiTheme="minorEastAsia" w:hAnsiTheme="minorEastAsia" w:eastAsiaTheme="minorEastAsia" w:cstheme="minorEastAsia"/>
                <w:color w:val="auto"/>
                <w:kern w:val="0"/>
                <w:sz w:val="21"/>
                <w:szCs w:val="21"/>
                <w:highlight w:val="none"/>
                <w:lang w:val="en-US" w:eastAsia="zh-CN" w:bidi="ar"/>
              </w:rPr>
              <w:t>有效解决企业难题，促进优惠政策落实</w:t>
            </w:r>
          </w:p>
        </w:tc>
        <w:tc>
          <w:tcPr>
            <w:tcW w:w="1320" w:type="dxa"/>
            <w:gridSpan w:val="2"/>
            <w:vAlign w:val="center"/>
          </w:tcPr>
          <w:p>
            <w:pPr>
              <w:widowControl/>
              <w:jc w:val="both"/>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有效解决，企业亏损面减少。</w:t>
            </w:r>
          </w:p>
        </w:tc>
        <w:tc>
          <w:tcPr>
            <w:tcW w:w="825"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val="en-US" w:eastAsia="zh-CN" w:bidi="ar"/>
              </w:rPr>
              <w:t>5</w:t>
            </w:r>
          </w:p>
        </w:tc>
        <w:tc>
          <w:tcPr>
            <w:tcW w:w="85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val="en-US" w:eastAsia="zh-CN" w:bidi="ar"/>
              </w:rPr>
              <w:t>5</w:t>
            </w:r>
          </w:p>
        </w:tc>
        <w:tc>
          <w:tcPr>
            <w:tcW w:w="1153"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125"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074"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295" w:type="dxa"/>
            <w:vAlign w:val="center"/>
          </w:tcPr>
          <w:p>
            <w:pPr>
              <w:widowControl/>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bidi="ar"/>
              </w:rPr>
              <w:t>优势产业链</w:t>
            </w:r>
            <w:r>
              <w:rPr>
                <w:rFonts w:hint="eastAsia" w:asciiTheme="minorEastAsia" w:hAnsiTheme="minorEastAsia" w:eastAsiaTheme="minorEastAsia" w:cstheme="minorEastAsia"/>
                <w:color w:val="auto"/>
                <w:kern w:val="0"/>
                <w:sz w:val="21"/>
                <w:szCs w:val="21"/>
                <w:highlight w:val="none"/>
                <w:lang w:val="en-US" w:eastAsia="zh-CN" w:bidi="ar"/>
              </w:rPr>
              <w:t>建设</w:t>
            </w:r>
          </w:p>
        </w:tc>
        <w:tc>
          <w:tcPr>
            <w:tcW w:w="1280" w:type="dxa"/>
            <w:gridSpan w:val="2"/>
            <w:vAlign w:val="center"/>
          </w:tcPr>
          <w:p>
            <w:pPr>
              <w:widowControl/>
              <w:jc w:val="both"/>
              <w:textAlignment w:val="center"/>
              <w:rPr>
                <w:rFonts w:hint="eastAsia" w:asciiTheme="minorEastAsia" w:hAnsiTheme="minorEastAsia" w:eastAsiaTheme="minorEastAsia" w:cstheme="minorEastAsia"/>
                <w:color w:val="auto"/>
                <w:kern w:val="0"/>
                <w:sz w:val="21"/>
                <w:szCs w:val="21"/>
                <w:highlight w:val="none"/>
                <w:lang w:eastAsia="zh-CN" w:bidi="ar"/>
              </w:rPr>
            </w:pPr>
            <w:r>
              <w:rPr>
                <w:rFonts w:hint="eastAsia" w:asciiTheme="minorEastAsia" w:hAnsiTheme="minorEastAsia" w:eastAsiaTheme="minorEastAsia" w:cstheme="minorEastAsia"/>
                <w:color w:val="auto"/>
                <w:kern w:val="0"/>
                <w:sz w:val="21"/>
                <w:szCs w:val="21"/>
                <w:highlight w:val="none"/>
                <w:lang w:bidi="ar"/>
              </w:rPr>
              <w:t>优势产业链“四上企业”实现产值增</w:t>
            </w:r>
            <w:r>
              <w:rPr>
                <w:rFonts w:hint="eastAsia" w:asciiTheme="minorEastAsia" w:hAnsiTheme="minorEastAsia" w:eastAsiaTheme="minorEastAsia" w:cstheme="minorEastAsia"/>
                <w:color w:val="auto"/>
                <w:kern w:val="0"/>
                <w:sz w:val="21"/>
                <w:szCs w:val="21"/>
                <w:highlight w:val="none"/>
                <w:lang w:val="en-US" w:eastAsia="zh-CN" w:bidi="ar"/>
              </w:rPr>
              <w:t>长</w:t>
            </w:r>
          </w:p>
        </w:tc>
        <w:tc>
          <w:tcPr>
            <w:tcW w:w="1320" w:type="dxa"/>
            <w:gridSpan w:val="2"/>
            <w:vAlign w:val="center"/>
          </w:tcPr>
          <w:p>
            <w:pPr>
              <w:widowControl/>
              <w:jc w:val="both"/>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全州10条优势产业链“四上企业”实现产值增速4.5%</w:t>
            </w:r>
          </w:p>
        </w:tc>
        <w:tc>
          <w:tcPr>
            <w:tcW w:w="825"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default" w:asciiTheme="minorEastAsia" w:hAnsiTheme="minorEastAsia" w:eastAsiaTheme="minorEastAsia" w:cstheme="minorEastAsia"/>
                <w:color w:val="auto"/>
                <w:kern w:val="0"/>
                <w:sz w:val="21"/>
                <w:szCs w:val="21"/>
                <w:highlight w:val="none"/>
                <w:lang w:val="en-US" w:bidi="ar"/>
              </w:rPr>
              <w:t>5</w:t>
            </w:r>
          </w:p>
        </w:tc>
        <w:tc>
          <w:tcPr>
            <w:tcW w:w="85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default" w:asciiTheme="minorEastAsia" w:hAnsiTheme="minorEastAsia" w:eastAsiaTheme="minorEastAsia" w:cstheme="minorEastAsia"/>
                <w:color w:val="auto"/>
                <w:kern w:val="0"/>
                <w:sz w:val="21"/>
                <w:szCs w:val="21"/>
                <w:highlight w:val="none"/>
                <w:lang w:val="en-US" w:bidi="ar"/>
              </w:rPr>
              <w:t>5</w:t>
            </w:r>
          </w:p>
        </w:tc>
        <w:tc>
          <w:tcPr>
            <w:tcW w:w="1153"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125"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074"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295" w:type="dxa"/>
            <w:vAlign w:val="center"/>
          </w:tcPr>
          <w:p>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绩效目标合理性</w:t>
            </w:r>
          </w:p>
        </w:tc>
        <w:tc>
          <w:tcPr>
            <w:tcW w:w="1280"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合理</w:t>
            </w:r>
          </w:p>
        </w:tc>
        <w:tc>
          <w:tcPr>
            <w:tcW w:w="1320"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合理</w:t>
            </w:r>
          </w:p>
        </w:tc>
        <w:tc>
          <w:tcPr>
            <w:tcW w:w="825"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default" w:asciiTheme="minorEastAsia" w:hAnsiTheme="minorEastAsia" w:eastAsiaTheme="minorEastAsia" w:cstheme="minorEastAsia"/>
                <w:color w:val="auto"/>
                <w:kern w:val="0"/>
                <w:sz w:val="21"/>
                <w:szCs w:val="21"/>
                <w:highlight w:val="none"/>
                <w:lang w:val="en-US" w:eastAsia="zh-CN" w:bidi="ar"/>
              </w:rPr>
              <w:t>5</w:t>
            </w:r>
          </w:p>
        </w:tc>
        <w:tc>
          <w:tcPr>
            <w:tcW w:w="85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default" w:asciiTheme="minorEastAsia" w:hAnsiTheme="minorEastAsia" w:eastAsiaTheme="minorEastAsia" w:cstheme="minorEastAsia"/>
                <w:color w:val="auto"/>
                <w:kern w:val="0"/>
                <w:sz w:val="21"/>
                <w:szCs w:val="21"/>
                <w:highlight w:val="none"/>
                <w:lang w:val="en-US" w:eastAsia="zh-CN" w:bidi="ar"/>
              </w:rPr>
              <w:t>5</w:t>
            </w:r>
          </w:p>
        </w:tc>
        <w:tc>
          <w:tcPr>
            <w:tcW w:w="1153"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125"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074" w:type="dxa"/>
            <w:vMerge w:val="restart"/>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时效</w:t>
            </w:r>
          </w:p>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指标</w:t>
            </w:r>
          </w:p>
        </w:tc>
        <w:tc>
          <w:tcPr>
            <w:tcW w:w="1295"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重点</w:t>
            </w:r>
            <w:r>
              <w:rPr>
                <w:rFonts w:hint="eastAsia" w:asciiTheme="minorEastAsia" w:hAnsiTheme="minorEastAsia" w:eastAsiaTheme="minorEastAsia" w:cstheme="minorEastAsia"/>
                <w:color w:val="auto"/>
                <w:kern w:val="0"/>
                <w:sz w:val="21"/>
                <w:szCs w:val="21"/>
                <w:highlight w:val="none"/>
                <w:lang w:val="en-US" w:eastAsia="zh-CN" w:bidi="ar"/>
              </w:rPr>
              <w:t>工作</w:t>
            </w:r>
            <w:r>
              <w:rPr>
                <w:rFonts w:hint="eastAsia" w:asciiTheme="minorEastAsia" w:hAnsiTheme="minorEastAsia" w:eastAsiaTheme="minorEastAsia" w:cstheme="minorEastAsia"/>
                <w:color w:val="auto"/>
                <w:kern w:val="0"/>
                <w:sz w:val="21"/>
                <w:szCs w:val="21"/>
                <w:highlight w:val="none"/>
                <w:lang w:bidi="ar"/>
              </w:rPr>
              <w:t>完成率</w:t>
            </w:r>
          </w:p>
        </w:tc>
        <w:tc>
          <w:tcPr>
            <w:tcW w:w="1280"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100%</w:t>
            </w:r>
          </w:p>
        </w:tc>
        <w:tc>
          <w:tcPr>
            <w:tcW w:w="1320"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100%</w:t>
            </w:r>
          </w:p>
        </w:tc>
        <w:tc>
          <w:tcPr>
            <w:tcW w:w="825"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3</w:t>
            </w:r>
          </w:p>
        </w:tc>
        <w:tc>
          <w:tcPr>
            <w:tcW w:w="85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3</w:t>
            </w:r>
          </w:p>
        </w:tc>
        <w:tc>
          <w:tcPr>
            <w:tcW w:w="1153"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125"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074" w:type="dxa"/>
            <w:vMerge w:val="continue"/>
            <w:vAlign w:val="center"/>
          </w:tcPr>
          <w:p>
            <w:pPr>
              <w:spacing w:line="260" w:lineRule="exact"/>
              <w:jc w:val="left"/>
              <w:rPr>
                <w:rFonts w:hint="eastAsia" w:asciiTheme="minorEastAsia" w:hAnsiTheme="minorEastAsia" w:eastAsiaTheme="minorEastAsia" w:cstheme="minorEastAsia"/>
                <w:b/>
                <w:bCs/>
                <w:color w:val="auto"/>
                <w:sz w:val="21"/>
                <w:szCs w:val="21"/>
                <w:highlight w:val="none"/>
              </w:rPr>
            </w:pPr>
          </w:p>
        </w:tc>
        <w:tc>
          <w:tcPr>
            <w:tcW w:w="1295"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重要精神传达及时率</w:t>
            </w:r>
          </w:p>
        </w:tc>
        <w:tc>
          <w:tcPr>
            <w:tcW w:w="1280"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100%</w:t>
            </w:r>
          </w:p>
        </w:tc>
        <w:tc>
          <w:tcPr>
            <w:tcW w:w="1320"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100%</w:t>
            </w:r>
          </w:p>
        </w:tc>
        <w:tc>
          <w:tcPr>
            <w:tcW w:w="825"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val="en-US" w:eastAsia="zh-CN" w:bidi="ar"/>
              </w:rPr>
              <w:t>2</w:t>
            </w:r>
          </w:p>
        </w:tc>
        <w:tc>
          <w:tcPr>
            <w:tcW w:w="85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val="en-US" w:eastAsia="zh-CN" w:bidi="ar"/>
              </w:rPr>
              <w:t>2</w:t>
            </w:r>
          </w:p>
        </w:tc>
        <w:tc>
          <w:tcPr>
            <w:tcW w:w="1153"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125"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074" w:type="dxa"/>
            <w:vMerge w:val="restart"/>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成本</w:t>
            </w:r>
          </w:p>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指标</w:t>
            </w:r>
          </w:p>
        </w:tc>
        <w:tc>
          <w:tcPr>
            <w:tcW w:w="1295"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在职人员控制率</w:t>
            </w:r>
          </w:p>
        </w:tc>
        <w:tc>
          <w:tcPr>
            <w:tcW w:w="1280"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≤100%</w:t>
            </w:r>
          </w:p>
        </w:tc>
        <w:tc>
          <w:tcPr>
            <w:tcW w:w="1320"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bidi="ar"/>
              </w:rPr>
              <w:t>85.71</w:t>
            </w:r>
            <w:r>
              <w:rPr>
                <w:rFonts w:hint="eastAsia" w:asciiTheme="minorEastAsia" w:hAnsiTheme="minorEastAsia" w:eastAsiaTheme="minorEastAsia" w:cstheme="minorEastAsia"/>
                <w:color w:val="auto"/>
                <w:kern w:val="0"/>
                <w:sz w:val="21"/>
                <w:szCs w:val="21"/>
                <w:highlight w:val="none"/>
                <w:lang w:bidi="ar"/>
              </w:rPr>
              <w:t>%</w:t>
            </w:r>
          </w:p>
        </w:tc>
        <w:tc>
          <w:tcPr>
            <w:tcW w:w="825"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3</w:t>
            </w:r>
          </w:p>
        </w:tc>
        <w:tc>
          <w:tcPr>
            <w:tcW w:w="85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3</w:t>
            </w:r>
          </w:p>
        </w:tc>
        <w:tc>
          <w:tcPr>
            <w:tcW w:w="1153"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125"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074" w:type="dxa"/>
            <w:vMerge w:val="continue"/>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p>
        </w:tc>
        <w:tc>
          <w:tcPr>
            <w:tcW w:w="1295"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公用经费控制率</w:t>
            </w:r>
          </w:p>
        </w:tc>
        <w:tc>
          <w:tcPr>
            <w:tcW w:w="1280"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≤100%</w:t>
            </w:r>
          </w:p>
        </w:tc>
        <w:tc>
          <w:tcPr>
            <w:tcW w:w="1320"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bidi="ar"/>
              </w:rPr>
              <w:t>100</w:t>
            </w:r>
            <w:r>
              <w:rPr>
                <w:rFonts w:hint="eastAsia" w:asciiTheme="minorEastAsia" w:hAnsiTheme="minorEastAsia" w:eastAsiaTheme="minorEastAsia" w:cstheme="minorEastAsia"/>
                <w:color w:val="auto"/>
                <w:kern w:val="0"/>
                <w:sz w:val="21"/>
                <w:szCs w:val="21"/>
                <w:highlight w:val="none"/>
                <w:lang w:bidi="ar"/>
              </w:rPr>
              <w:t>%</w:t>
            </w:r>
          </w:p>
        </w:tc>
        <w:tc>
          <w:tcPr>
            <w:tcW w:w="825"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val="en-US" w:eastAsia="zh-CN" w:bidi="ar"/>
              </w:rPr>
              <w:t>3</w:t>
            </w:r>
          </w:p>
        </w:tc>
        <w:tc>
          <w:tcPr>
            <w:tcW w:w="85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3</w:t>
            </w:r>
          </w:p>
        </w:tc>
        <w:tc>
          <w:tcPr>
            <w:tcW w:w="1153"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125"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074" w:type="dxa"/>
            <w:vMerge w:val="continue"/>
            <w:vAlign w:val="center"/>
          </w:tcPr>
          <w:p>
            <w:pPr>
              <w:spacing w:line="260" w:lineRule="exact"/>
              <w:jc w:val="left"/>
              <w:rPr>
                <w:rFonts w:hint="eastAsia" w:asciiTheme="minorEastAsia" w:hAnsiTheme="minorEastAsia" w:eastAsiaTheme="minorEastAsia" w:cstheme="minorEastAsia"/>
                <w:b/>
                <w:bCs/>
                <w:color w:val="auto"/>
                <w:sz w:val="21"/>
                <w:szCs w:val="21"/>
                <w:highlight w:val="none"/>
              </w:rPr>
            </w:pPr>
          </w:p>
        </w:tc>
        <w:tc>
          <w:tcPr>
            <w:tcW w:w="1295"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“三公经费”控制率</w:t>
            </w:r>
          </w:p>
        </w:tc>
        <w:tc>
          <w:tcPr>
            <w:tcW w:w="1280"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≤100%</w:t>
            </w:r>
          </w:p>
        </w:tc>
        <w:tc>
          <w:tcPr>
            <w:tcW w:w="1320"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bidi="ar"/>
              </w:rPr>
              <w:t>37.84</w:t>
            </w:r>
            <w:r>
              <w:rPr>
                <w:rFonts w:hint="eastAsia" w:asciiTheme="minorEastAsia" w:hAnsiTheme="minorEastAsia" w:eastAsiaTheme="minorEastAsia" w:cstheme="minorEastAsia"/>
                <w:color w:val="auto"/>
                <w:kern w:val="0"/>
                <w:sz w:val="21"/>
                <w:szCs w:val="21"/>
                <w:highlight w:val="none"/>
                <w:lang w:bidi="ar"/>
              </w:rPr>
              <w:t>%</w:t>
            </w:r>
          </w:p>
        </w:tc>
        <w:tc>
          <w:tcPr>
            <w:tcW w:w="825"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2</w:t>
            </w:r>
          </w:p>
        </w:tc>
        <w:tc>
          <w:tcPr>
            <w:tcW w:w="85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2</w:t>
            </w:r>
          </w:p>
        </w:tc>
        <w:tc>
          <w:tcPr>
            <w:tcW w:w="1153"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125"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074" w:type="dxa"/>
            <w:vMerge w:val="continue"/>
            <w:vAlign w:val="center"/>
          </w:tcPr>
          <w:p>
            <w:pPr>
              <w:spacing w:line="260" w:lineRule="exact"/>
              <w:jc w:val="left"/>
              <w:rPr>
                <w:rFonts w:hint="eastAsia" w:asciiTheme="minorEastAsia" w:hAnsiTheme="minorEastAsia" w:eastAsiaTheme="minorEastAsia" w:cstheme="minorEastAsia"/>
                <w:b/>
                <w:bCs/>
                <w:color w:val="auto"/>
                <w:sz w:val="21"/>
                <w:szCs w:val="21"/>
                <w:highlight w:val="none"/>
              </w:rPr>
            </w:pPr>
          </w:p>
        </w:tc>
        <w:tc>
          <w:tcPr>
            <w:tcW w:w="1295"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固定资产利用率</w:t>
            </w:r>
          </w:p>
        </w:tc>
        <w:tc>
          <w:tcPr>
            <w:tcW w:w="1280"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100%</w:t>
            </w:r>
          </w:p>
        </w:tc>
        <w:tc>
          <w:tcPr>
            <w:tcW w:w="1320"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100%</w:t>
            </w:r>
          </w:p>
        </w:tc>
        <w:tc>
          <w:tcPr>
            <w:tcW w:w="825"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val="en-US" w:eastAsia="zh-CN" w:bidi="ar"/>
              </w:rPr>
              <w:t>2</w:t>
            </w:r>
          </w:p>
        </w:tc>
        <w:tc>
          <w:tcPr>
            <w:tcW w:w="85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val="en-US" w:eastAsia="zh-CN" w:bidi="ar"/>
              </w:rPr>
              <w:t>2</w:t>
            </w:r>
          </w:p>
        </w:tc>
        <w:tc>
          <w:tcPr>
            <w:tcW w:w="1153"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125" w:type="dxa"/>
            <w:vMerge w:val="restart"/>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效益指标</w:t>
            </w:r>
          </w:p>
          <w:p>
            <w:pPr>
              <w:spacing w:line="260" w:lineRule="exact"/>
              <w:jc w:val="left"/>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 xml:space="preserve">（30分） </w:t>
            </w:r>
          </w:p>
        </w:tc>
        <w:tc>
          <w:tcPr>
            <w:tcW w:w="1074" w:type="dxa"/>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经济效</w:t>
            </w:r>
          </w:p>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益指标</w:t>
            </w:r>
          </w:p>
        </w:tc>
        <w:tc>
          <w:tcPr>
            <w:tcW w:w="1295"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工业经济平稳增长</w:t>
            </w:r>
          </w:p>
        </w:tc>
        <w:tc>
          <w:tcPr>
            <w:tcW w:w="1280" w:type="dxa"/>
            <w:gridSpan w:val="2"/>
            <w:vAlign w:val="center"/>
          </w:tcPr>
          <w:p>
            <w:pPr>
              <w:widowControl/>
              <w:jc w:val="both"/>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全</w:t>
            </w:r>
            <w:r>
              <w:rPr>
                <w:rFonts w:hint="eastAsia" w:asciiTheme="minorEastAsia" w:hAnsiTheme="minorEastAsia" w:eastAsiaTheme="minorEastAsia" w:cstheme="minorEastAsia"/>
                <w:color w:val="auto"/>
                <w:kern w:val="0"/>
                <w:sz w:val="21"/>
                <w:szCs w:val="21"/>
                <w:highlight w:val="none"/>
                <w:lang w:val="en-US" w:eastAsia="zh-CN" w:bidi="ar"/>
              </w:rPr>
              <w:t>州</w:t>
            </w:r>
            <w:r>
              <w:rPr>
                <w:rFonts w:hint="eastAsia" w:asciiTheme="minorEastAsia" w:hAnsiTheme="minorEastAsia" w:eastAsiaTheme="minorEastAsia" w:cstheme="minorEastAsia"/>
                <w:color w:val="auto"/>
                <w:kern w:val="0"/>
                <w:sz w:val="21"/>
                <w:szCs w:val="21"/>
                <w:highlight w:val="none"/>
                <w:lang w:bidi="ar"/>
              </w:rPr>
              <w:t>工业经济实现平稳增长</w:t>
            </w:r>
          </w:p>
        </w:tc>
        <w:tc>
          <w:tcPr>
            <w:tcW w:w="1320" w:type="dxa"/>
            <w:gridSpan w:val="2"/>
            <w:vAlign w:val="center"/>
          </w:tcPr>
          <w:p>
            <w:pPr>
              <w:widowControl/>
              <w:jc w:val="both"/>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全州规模工业增加值同比增长0.1%</w:t>
            </w:r>
          </w:p>
        </w:tc>
        <w:tc>
          <w:tcPr>
            <w:tcW w:w="825"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8</w:t>
            </w:r>
          </w:p>
        </w:tc>
        <w:tc>
          <w:tcPr>
            <w:tcW w:w="85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8</w:t>
            </w:r>
          </w:p>
        </w:tc>
        <w:tc>
          <w:tcPr>
            <w:tcW w:w="1153"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125" w:type="dxa"/>
            <w:vMerge w:val="continue"/>
            <w:vAlign w:val="center"/>
          </w:tcPr>
          <w:p>
            <w:pPr>
              <w:spacing w:line="260" w:lineRule="exact"/>
              <w:jc w:val="left"/>
              <w:rPr>
                <w:rFonts w:hint="eastAsia" w:asciiTheme="minorEastAsia" w:hAnsiTheme="minorEastAsia" w:eastAsiaTheme="minorEastAsia" w:cstheme="minorEastAsia"/>
                <w:b/>
                <w:bCs/>
                <w:color w:val="auto"/>
                <w:sz w:val="21"/>
                <w:szCs w:val="21"/>
                <w:highlight w:val="none"/>
              </w:rPr>
            </w:pPr>
          </w:p>
        </w:tc>
        <w:tc>
          <w:tcPr>
            <w:tcW w:w="1074" w:type="dxa"/>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社会效</w:t>
            </w:r>
          </w:p>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益指标</w:t>
            </w:r>
          </w:p>
        </w:tc>
        <w:tc>
          <w:tcPr>
            <w:tcW w:w="1295" w:type="dxa"/>
            <w:vAlign w:val="center"/>
          </w:tcPr>
          <w:p>
            <w:pPr>
              <w:widowControl/>
              <w:jc w:val="both"/>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4G网络行政村</w:t>
            </w:r>
            <w:r>
              <w:rPr>
                <w:rFonts w:hint="eastAsia" w:asciiTheme="minorEastAsia" w:hAnsiTheme="minorEastAsia" w:eastAsiaTheme="minorEastAsia" w:cstheme="minorEastAsia"/>
                <w:color w:val="auto"/>
                <w:kern w:val="0"/>
                <w:sz w:val="21"/>
                <w:szCs w:val="21"/>
                <w:highlight w:val="none"/>
                <w:lang w:val="en-US" w:eastAsia="zh-CN" w:bidi="ar"/>
              </w:rPr>
              <w:t>全</w:t>
            </w:r>
            <w:r>
              <w:rPr>
                <w:rFonts w:hint="eastAsia" w:asciiTheme="minorEastAsia" w:hAnsiTheme="minorEastAsia" w:eastAsiaTheme="minorEastAsia" w:cstheme="minorEastAsia"/>
                <w:color w:val="auto"/>
                <w:kern w:val="0"/>
                <w:sz w:val="21"/>
                <w:szCs w:val="21"/>
                <w:highlight w:val="none"/>
                <w:lang w:bidi="ar"/>
              </w:rPr>
              <w:t>覆盖</w:t>
            </w:r>
          </w:p>
        </w:tc>
        <w:tc>
          <w:tcPr>
            <w:tcW w:w="1280" w:type="dxa"/>
            <w:gridSpan w:val="2"/>
            <w:vAlign w:val="center"/>
          </w:tcPr>
          <w:p>
            <w:pPr>
              <w:widowControl/>
              <w:jc w:val="both"/>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4G网络行政村</w:t>
            </w:r>
            <w:r>
              <w:rPr>
                <w:rFonts w:hint="eastAsia" w:asciiTheme="minorEastAsia" w:hAnsiTheme="minorEastAsia" w:eastAsiaTheme="minorEastAsia" w:cstheme="minorEastAsia"/>
                <w:color w:val="auto"/>
                <w:kern w:val="0"/>
                <w:sz w:val="21"/>
                <w:szCs w:val="21"/>
                <w:highlight w:val="none"/>
                <w:lang w:val="en-US" w:eastAsia="zh-CN" w:bidi="ar"/>
              </w:rPr>
              <w:t>全</w:t>
            </w:r>
            <w:r>
              <w:rPr>
                <w:rFonts w:hint="eastAsia" w:asciiTheme="minorEastAsia" w:hAnsiTheme="minorEastAsia" w:eastAsiaTheme="minorEastAsia" w:cstheme="minorEastAsia"/>
                <w:color w:val="auto"/>
                <w:kern w:val="0"/>
                <w:sz w:val="21"/>
                <w:szCs w:val="21"/>
                <w:highlight w:val="none"/>
                <w:lang w:bidi="ar"/>
              </w:rPr>
              <w:t>覆盖</w:t>
            </w:r>
          </w:p>
        </w:tc>
        <w:tc>
          <w:tcPr>
            <w:tcW w:w="1320" w:type="dxa"/>
            <w:gridSpan w:val="2"/>
            <w:vAlign w:val="center"/>
          </w:tcPr>
          <w:p>
            <w:pPr>
              <w:widowControl/>
              <w:jc w:val="both"/>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4G网络行政村覆盖率达到100%、自然村达到92%</w:t>
            </w:r>
          </w:p>
        </w:tc>
        <w:tc>
          <w:tcPr>
            <w:tcW w:w="825"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8</w:t>
            </w:r>
          </w:p>
        </w:tc>
        <w:tc>
          <w:tcPr>
            <w:tcW w:w="85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val="en-US" w:eastAsia="zh-CN" w:bidi="ar"/>
              </w:rPr>
              <w:t>7</w:t>
            </w:r>
          </w:p>
        </w:tc>
        <w:tc>
          <w:tcPr>
            <w:tcW w:w="1153"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125" w:type="dxa"/>
            <w:vMerge w:val="continue"/>
            <w:vAlign w:val="center"/>
          </w:tcPr>
          <w:p>
            <w:pPr>
              <w:spacing w:line="260" w:lineRule="exact"/>
              <w:jc w:val="left"/>
              <w:rPr>
                <w:rFonts w:hint="eastAsia" w:asciiTheme="minorEastAsia" w:hAnsiTheme="minorEastAsia" w:eastAsiaTheme="minorEastAsia" w:cstheme="minorEastAsia"/>
                <w:b/>
                <w:bCs/>
                <w:color w:val="auto"/>
                <w:sz w:val="21"/>
                <w:szCs w:val="21"/>
                <w:highlight w:val="none"/>
              </w:rPr>
            </w:pPr>
          </w:p>
        </w:tc>
        <w:tc>
          <w:tcPr>
            <w:tcW w:w="1074" w:type="dxa"/>
            <w:vAlign w:val="center"/>
          </w:tcPr>
          <w:p>
            <w:pPr>
              <w:spacing w:line="260" w:lineRule="exact"/>
              <w:jc w:val="center"/>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生态效</w:t>
            </w:r>
          </w:p>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4"/>
                <w:szCs w:val="24"/>
                <w:highlight w:val="none"/>
              </w:rPr>
              <w:t>益指标</w:t>
            </w:r>
          </w:p>
        </w:tc>
        <w:tc>
          <w:tcPr>
            <w:tcW w:w="1295" w:type="dxa"/>
            <w:vAlign w:val="center"/>
          </w:tcPr>
          <w:p>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4"/>
                <w:szCs w:val="24"/>
                <w:highlight w:val="none"/>
                <w:lang w:bidi="ar"/>
              </w:rPr>
              <w:t>倡导生态平衡发展</w:t>
            </w:r>
          </w:p>
        </w:tc>
        <w:tc>
          <w:tcPr>
            <w:tcW w:w="1280" w:type="dxa"/>
            <w:gridSpan w:val="2"/>
            <w:vAlign w:val="center"/>
          </w:tcPr>
          <w:p>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4"/>
                <w:szCs w:val="24"/>
                <w:highlight w:val="none"/>
                <w:lang w:bidi="ar"/>
              </w:rPr>
              <w:t>配合生态环境保护督察</w:t>
            </w:r>
            <w:r>
              <w:rPr>
                <w:rFonts w:hint="default" w:asciiTheme="minorEastAsia" w:hAnsiTheme="minorEastAsia" w:eastAsiaTheme="minorEastAsia" w:cstheme="minorEastAsia"/>
                <w:color w:val="auto"/>
                <w:kern w:val="0"/>
                <w:sz w:val="24"/>
                <w:szCs w:val="24"/>
                <w:highlight w:val="none"/>
                <w:lang w:val="en-US" w:bidi="ar"/>
              </w:rPr>
              <w:t>,</w:t>
            </w:r>
            <w:r>
              <w:rPr>
                <w:rFonts w:hint="eastAsia" w:asciiTheme="minorEastAsia" w:hAnsiTheme="minorEastAsia" w:eastAsiaTheme="minorEastAsia" w:cstheme="minorEastAsia"/>
                <w:color w:val="auto"/>
                <w:kern w:val="0"/>
                <w:sz w:val="24"/>
                <w:szCs w:val="24"/>
                <w:highlight w:val="none"/>
                <w:lang w:bidi="ar"/>
              </w:rPr>
              <w:t>完成“散乱污”企业整治工作</w:t>
            </w:r>
          </w:p>
        </w:tc>
        <w:tc>
          <w:tcPr>
            <w:tcW w:w="1320" w:type="dxa"/>
            <w:gridSpan w:val="2"/>
            <w:vAlign w:val="center"/>
          </w:tcPr>
          <w:p>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4"/>
                <w:szCs w:val="24"/>
                <w:highlight w:val="none"/>
                <w:lang w:bidi="ar"/>
              </w:rPr>
              <w:t>支持配合生态环境保护</w:t>
            </w:r>
            <w:r>
              <w:rPr>
                <w:rFonts w:hint="default" w:asciiTheme="minorEastAsia" w:hAnsiTheme="minorEastAsia" w:eastAsiaTheme="minorEastAsia" w:cstheme="minorEastAsia"/>
                <w:color w:val="auto"/>
                <w:kern w:val="0"/>
                <w:sz w:val="24"/>
                <w:szCs w:val="24"/>
                <w:highlight w:val="none"/>
                <w:lang w:val="en-US" w:bidi="ar"/>
              </w:rPr>
              <w:t>,</w:t>
            </w:r>
            <w:r>
              <w:rPr>
                <w:rFonts w:hint="eastAsia" w:asciiTheme="minorEastAsia" w:hAnsiTheme="minorEastAsia" w:eastAsiaTheme="minorEastAsia" w:cstheme="minorEastAsia"/>
                <w:color w:val="auto"/>
                <w:kern w:val="0"/>
                <w:sz w:val="24"/>
                <w:szCs w:val="24"/>
                <w:highlight w:val="none"/>
                <w:lang w:bidi="ar"/>
              </w:rPr>
              <w:t>完成“散乱污”企业整治</w:t>
            </w:r>
          </w:p>
        </w:tc>
        <w:tc>
          <w:tcPr>
            <w:tcW w:w="825" w:type="dxa"/>
            <w:vAlign w:val="center"/>
          </w:tcPr>
          <w:p>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4"/>
                <w:szCs w:val="24"/>
                <w:highlight w:val="none"/>
                <w:lang w:bidi="ar"/>
              </w:rPr>
              <w:t>6</w:t>
            </w:r>
          </w:p>
        </w:tc>
        <w:tc>
          <w:tcPr>
            <w:tcW w:w="857" w:type="dxa"/>
            <w:vAlign w:val="center"/>
          </w:tcPr>
          <w:p>
            <w:pPr>
              <w:widowControl/>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4"/>
                <w:szCs w:val="24"/>
                <w:highlight w:val="none"/>
                <w:lang w:bidi="ar"/>
              </w:rPr>
              <w:t>6</w:t>
            </w:r>
          </w:p>
        </w:tc>
        <w:tc>
          <w:tcPr>
            <w:tcW w:w="1153" w:type="dxa"/>
            <w:vAlign w:val="center"/>
          </w:tcPr>
          <w:p>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125" w:type="dxa"/>
            <w:vMerge w:val="continue"/>
            <w:vAlign w:val="center"/>
          </w:tcPr>
          <w:p>
            <w:pPr>
              <w:spacing w:line="260" w:lineRule="exact"/>
              <w:jc w:val="left"/>
              <w:rPr>
                <w:rFonts w:hint="eastAsia" w:asciiTheme="minorEastAsia" w:hAnsiTheme="minorEastAsia" w:eastAsiaTheme="minorEastAsia" w:cstheme="minorEastAsia"/>
                <w:b/>
                <w:bCs/>
                <w:color w:val="auto"/>
                <w:sz w:val="21"/>
                <w:szCs w:val="21"/>
                <w:highlight w:val="none"/>
              </w:rPr>
            </w:pPr>
          </w:p>
        </w:tc>
        <w:tc>
          <w:tcPr>
            <w:tcW w:w="1074" w:type="dxa"/>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可持续影响指标</w:t>
            </w:r>
          </w:p>
        </w:tc>
        <w:tc>
          <w:tcPr>
            <w:tcW w:w="1295" w:type="dxa"/>
            <w:vAlign w:val="center"/>
          </w:tcPr>
          <w:p>
            <w:pPr>
              <w:widowControl/>
              <w:jc w:val="both"/>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清洁生产、节能降耗</w:t>
            </w:r>
          </w:p>
        </w:tc>
        <w:tc>
          <w:tcPr>
            <w:tcW w:w="1280" w:type="dxa"/>
            <w:gridSpan w:val="2"/>
            <w:vAlign w:val="center"/>
          </w:tcPr>
          <w:p>
            <w:pPr>
              <w:widowControl/>
              <w:jc w:val="both"/>
              <w:textAlignment w:val="center"/>
              <w:rPr>
                <w:rFonts w:hint="eastAsia" w:asciiTheme="minorEastAsia" w:hAnsiTheme="minorEastAsia" w:eastAsiaTheme="minorEastAsia" w:cstheme="minorEastAsia"/>
                <w:color w:val="auto"/>
                <w:kern w:val="0"/>
                <w:sz w:val="21"/>
                <w:szCs w:val="21"/>
                <w:highlight w:val="none"/>
                <w:lang w:eastAsia="zh-CN" w:bidi="ar"/>
              </w:rPr>
            </w:pPr>
            <w:r>
              <w:rPr>
                <w:rFonts w:hint="eastAsia" w:asciiTheme="minorEastAsia" w:hAnsiTheme="minorEastAsia" w:eastAsiaTheme="minorEastAsia" w:cstheme="minorEastAsia"/>
                <w:color w:val="auto"/>
                <w:kern w:val="0"/>
                <w:sz w:val="21"/>
                <w:szCs w:val="21"/>
                <w:highlight w:val="none"/>
                <w:lang w:bidi="ar"/>
              </w:rPr>
              <w:t>大力推进绿色制造试点</w:t>
            </w:r>
            <w:r>
              <w:rPr>
                <w:rFonts w:hint="eastAsia" w:asciiTheme="minorEastAsia" w:hAnsiTheme="minorEastAsia" w:eastAsiaTheme="minorEastAsia" w:cstheme="minorEastAsia"/>
                <w:color w:val="auto"/>
                <w:kern w:val="0"/>
                <w:sz w:val="21"/>
                <w:szCs w:val="21"/>
                <w:highlight w:val="none"/>
                <w:lang w:eastAsia="zh-CN" w:bidi="ar"/>
              </w:rPr>
              <w:t>，积极推进工业企业清洁生产、节能降耗</w:t>
            </w:r>
          </w:p>
          <w:p>
            <w:pPr>
              <w:widowControl/>
              <w:jc w:val="both"/>
              <w:textAlignment w:val="center"/>
              <w:rPr>
                <w:rFonts w:hint="eastAsia" w:asciiTheme="minorEastAsia" w:hAnsiTheme="minorEastAsia" w:eastAsiaTheme="minorEastAsia" w:cstheme="minorEastAsia"/>
                <w:color w:val="auto"/>
                <w:kern w:val="0"/>
                <w:sz w:val="21"/>
                <w:szCs w:val="21"/>
                <w:highlight w:val="none"/>
                <w:lang w:bidi="ar"/>
              </w:rPr>
            </w:pPr>
          </w:p>
        </w:tc>
        <w:tc>
          <w:tcPr>
            <w:tcW w:w="1320"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积极推进工业企业清洁生产、节能降耗，全州每万元规模工业增加值能耗0.48吨标准煤，同比下降17.78%。</w:t>
            </w:r>
          </w:p>
        </w:tc>
        <w:tc>
          <w:tcPr>
            <w:tcW w:w="825"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8</w:t>
            </w:r>
          </w:p>
        </w:tc>
        <w:tc>
          <w:tcPr>
            <w:tcW w:w="85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8</w:t>
            </w:r>
          </w:p>
        </w:tc>
        <w:tc>
          <w:tcPr>
            <w:tcW w:w="1153"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125" w:type="dxa"/>
            <w:vMerge w:val="restart"/>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满意度</w:t>
            </w:r>
          </w:p>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指标</w:t>
            </w:r>
          </w:p>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（10分）</w:t>
            </w:r>
          </w:p>
        </w:tc>
        <w:tc>
          <w:tcPr>
            <w:tcW w:w="1074" w:type="dxa"/>
            <w:vMerge w:val="restart"/>
            <w:vAlign w:val="center"/>
          </w:tcPr>
          <w:p>
            <w:pPr>
              <w:spacing w:line="260" w:lineRule="exact"/>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服务对象满意度指标</w:t>
            </w:r>
          </w:p>
        </w:tc>
        <w:tc>
          <w:tcPr>
            <w:tcW w:w="1295" w:type="dxa"/>
            <w:vAlign w:val="center"/>
          </w:tcPr>
          <w:p>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部门满意度</w:t>
            </w:r>
          </w:p>
        </w:tc>
        <w:tc>
          <w:tcPr>
            <w:tcW w:w="1280"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bidi="ar"/>
              </w:rPr>
              <w:t>≥</w:t>
            </w:r>
            <w:r>
              <w:rPr>
                <w:rFonts w:hint="eastAsia" w:asciiTheme="minorEastAsia" w:hAnsiTheme="minorEastAsia" w:eastAsiaTheme="minorEastAsia" w:cstheme="minorEastAsia"/>
                <w:color w:val="auto"/>
                <w:kern w:val="0"/>
                <w:sz w:val="21"/>
                <w:szCs w:val="21"/>
                <w:highlight w:val="none"/>
                <w:lang w:bidi="ar"/>
              </w:rPr>
              <w:t>95%</w:t>
            </w:r>
          </w:p>
        </w:tc>
        <w:tc>
          <w:tcPr>
            <w:tcW w:w="1320"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9</w:t>
            </w:r>
            <w:r>
              <w:rPr>
                <w:rFonts w:hint="eastAsia" w:asciiTheme="minorEastAsia" w:hAnsiTheme="minorEastAsia" w:eastAsiaTheme="minorEastAsia" w:cstheme="minorEastAsia"/>
                <w:color w:val="auto"/>
                <w:kern w:val="0"/>
                <w:sz w:val="21"/>
                <w:szCs w:val="21"/>
                <w:highlight w:val="none"/>
                <w:lang w:val="en-US" w:eastAsia="zh-CN" w:bidi="ar"/>
              </w:rPr>
              <w:t>6</w:t>
            </w:r>
            <w:r>
              <w:rPr>
                <w:rFonts w:hint="eastAsia" w:asciiTheme="minorEastAsia" w:hAnsiTheme="minorEastAsia" w:eastAsiaTheme="minorEastAsia" w:cstheme="minorEastAsia"/>
                <w:color w:val="auto"/>
                <w:kern w:val="0"/>
                <w:sz w:val="21"/>
                <w:szCs w:val="21"/>
                <w:highlight w:val="none"/>
                <w:lang w:bidi="ar"/>
              </w:rPr>
              <w:t>%</w:t>
            </w:r>
          </w:p>
        </w:tc>
        <w:tc>
          <w:tcPr>
            <w:tcW w:w="825"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3</w:t>
            </w:r>
          </w:p>
        </w:tc>
        <w:tc>
          <w:tcPr>
            <w:tcW w:w="85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3</w:t>
            </w:r>
          </w:p>
        </w:tc>
        <w:tc>
          <w:tcPr>
            <w:tcW w:w="1153"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125" w:type="dxa"/>
            <w:vMerge w:val="continue"/>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p>
        </w:tc>
        <w:tc>
          <w:tcPr>
            <w:tcW w:w="1074" w:type="dxa"/>
            <w:vMerge w:val="continue"/>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p>
        </w:tc>
        <w:tc>
          <w:tcPr>
            <w:tcW w:w="1295" w:type="dxa"/>
            <w:vAlign w:val="center"/>
          </w:tcPr>
          <w:p>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服务对象满意度</w:t>
            </w:r>
          </w:p>
        </w:tc>
        <w:tc>
          <w:tcPr>
            <w:tcW w:w="1280"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bidi="ar"/>
              </w:rPr>
              <w:t>≥</w:t>
            </w:r>
            <w:r>
              <w:rPr>
                <w:rFonts w:hint="eastAsia" w:asciiTheme="minorEastAsia" w:hAnsiTheme="minorEastAsia" w:eastAsiaTheme="minorEastAsia" w:cstheme="minorEastAsia"/>
                <w:color w:val="auto"/>
                <w:kern w:val="0"/>
                <w:sz w:val="21"/>
                <w:szCs w:val="21"/>
                <w:highlight w:val="none"/>
                <w:lang w:bidi="ar"/>
              </w:rPr>
              <w:t>95%</w:t>
            </w:r>
          </w:p>
        </w:tc>
        <w:tc>
          <w:tcPr>
            <w:tcW w:w="1320"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9</w:t>
            </w:r>
            <w:r>
              <w:rPr>
                <w:rFonts w:hint="eastAsia" w:asciiTheme="minorEastAsia" w:hAnsiTheme="minorEastAsia" w:eastAsiaTheme="minorEastAsia" w:cstheme="minorEastAsia"/>
                <w:color w:val="auto"/>
                <w:kern w:val="0"/>
                <w:sz w:val="21"/>
                <w:szCs w:val="21"/>
                <w:highlight w:val="none"/>
                <w:lang w:val="en-US" w:eastAsia="zh-CN" w:bidi="ar"/>
              </w:rPr>
              <w:t>5</w:t>
            </w:r>
            <w:r>
              <w:rPr>
                <w:rFonts w:hint="eastAsia" w:asciiTheme="minorEastAsia" w:hAnsiTheme="minorEastAsia" w:eastAsiaTheme="minorEastAsia" w:cstheme="minorEastAsia"/>
                <w:color w:val="auto"/>
                <w:kern w:val="0"/>
                <w:sz w:val="21"/>
                <w:szCs w:val="21"/>
                <w:highlight w:val="none"/>
                <w:lang w:bidi="ar"/>
              </w:rPr>
              <w:t>%</w:t>
            </w:r>
          </w:p>
        </w:tc>
        <w:tc>
          <w:tcPr>
            <w:tcW w:w="825"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3</w:t>
            </w:r>
          </w:p>
        </w:tc>
        <w:tc>
          <w:tcPr>
            <w:tcW w:w="85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3</w:t>
            </w:r>
          </w:p>
        </w:tc>
        <w:tc>
          <w:tcPr>
            <w:tcW w:w="1153"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56"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125"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074" w:type="dxa"/>
            <w:vMerge w:val="continue"/>
            <w:vAlign w:val="center"/>
          </w:tcPr>
          <w:p>
            <w:pPr>
              <w:spacing w:line="260" w:lineRule="exact"/>
              <w:jc w:val="left"/>
              <w:rPr>
                <w:rFonts w:hint="eastAsia" w:asciiTheme="minorEastAsia" w:hAnsiTheme="minorEastAsia" w:eastAsiaTheme="minorEastAsia" w:cstheme="minorEastAsia"/>
                <w:color w:val="auto"/>
                <w:sz w:val="21"/>
                <w:szCs w:val="21"/>
                <w:highlight w:val="none"/>
              </w:rPr>
            </w:pPr>
          </w:p>
        </w:tc>
        <w:tc>
          <w:tcPr>
            <w:tcW w:w="1295" w:type="dxa"/>
            <w:vAlign w:val="center"/>
          </w:tcPr>
          <w:p>
            <w:pPr>
              <w:widowControl/>
              <w:jc w:val="center"/>
              <w:textAlignment w:val="center"/>
              <w:rPr>
                <w:rFonts w:hint="eastAsia" w:asciiTheme="minorEastAsia" w:hAnsiTheme="minorEastAsia" w:eastAsiaTheme="minorEastAsia" w:cstheme="minorEastAsia"/>
                <w:color w:val="auto"/>
                <w:kern w:val="0"/>
                <w:sz w:val="21"/>
                <w:szCs w:val="21"/>
                <w:highlight w:val="none"/>
                <w:lang w:bidi="ar"/>
              </w:rPr>
            </w:pPr>
            <w:r>
              <w:rPr>
                <w:rFonts w:hint="eastAsia" w:asciiTheme="minorEastAsia" w:hAnsiTheme="minorEastAsia" w:eastAsiaTheme="minorEastAsia" w:cstheme="minorEastAsia"/>
                <w:color w:val="auto"/>
                <w:kern w:val="0"/>
                <w:sz w:val="21"/>
                <w:szCs w:val="21"/>
                <w:highlight w:val="none"/>
                <w:lang w:bidi="ar"/>
              </w:rPr>
              <w:t>社会公众满意度</w:t>
            </w:r>
          </w:p>
        </w:tc>
        <w:tc>
          <w:tcPr>
            <w:tcW w:w="1280"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bidi="ar"/>
              </w:rPr>
              <w:t>≥</w:t>
            </w:r>
            <w:r>
              <w:rPr>
                <w:rFonts w:hint="eastAsia" w:asciiTheme="minorEastAsia" w:hAnsiTheme="minorEastAsia" w:eastAsiaTheme="minorEastAsia" w:cstheme="minorEastAsia"/>
                <w:color w:val="auto"/>
                <w:kern w:val="0"/>
                <w:sz w:val="21"/>
                <w:szCs w:val="21"/>
                <w:highlight w:val="none"/>
                <w:lang w:bidi="ar"/>
              </w:rPr>
              <w:t>95%</w:t>
            </w:r>
          </w:p>
        </w:tc>
        <w:tc>
          <w:tcPr>
            <w:tcW w:w="1320" w:type="dxa"/>
            <w:gridSpan w:val="2"/>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9</w:t>
            </w:r>
            <w:r>
              <w:rPr>
                <w:rFonts w:hint="eastAsia" w:asciiTheme="minorEastAsia" w:hAnsiTheme="minorEastAsia" w:eastAsiaTheme="minorEastAsia" w:cstheme="minorEastAsia"/>
                <w:color w:val="auto"/>
                <w:kern w:val="0"/>
                <w:sz w:val="21"/>
                <w:szCs w:val="21"/>
                <w:highlight w:val="none"/>
                <w:lang w:val="en-US" w:eastAsia="zh-CN" w:bidi="ar"/>
              </w:rPr>
              <w:t>5</w:t>
            </w:r>
            <w:r>
              <w:rPr>
                <w:rFonts w:hint="eastAsia" w:asciiTheme="minorEastAsia" w:hAnsiTheme="minorEastAsia" w:eastAsiaTheme="minorEastAsia" w:cstheme="minorEastAsia"/>
                <w:color w:val="auto"/>
                <w:kern w:val="0"/>
                <w:sz w:val="21"/>
                <w:szCs w:val="21"/>
                <w:highlight w:val="none"/>
                <w:lang w:bidi="ar"/>
              </w:rPr>
              <w:t>%</w:t>
            </w:r>
          </w:p>
        </w:tc>
        <w:tc>
          <w:tcPr>
            <w:tcW w:w="825"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4</w:t>
            </w:r>
          </w:p>
        </w:tc>
        <w:tc>
          <w:tcPr>
            <w:tcW w:w="857"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4</w:t>
            </w:r>
          </w:p>
        </w:tc>
        <w:tc>
          <w:tcPr>
            <w:tcW w:w="1153" w:type="dxa"/>
            <w:vAlign w:val="center"/>
          </w:tcPr>
          <w:p>
            <w:pPr>
              <w:widowControl/>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050" w:type="dxa"/>
            <w:gridSpan w:val="8"/>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总分</w:t>
            </w:r>
          </w:p>
        </w:tc>
        <w:tc>
          <w:tcPr>
            <w:tcW w:w="825"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100</w:t>
            </w:r>
          </w:p>
        </w:tc>
        <w:tc>
          <w:tcPr>
            <w:tcW w:w="857" w:type="dxa"/>
            <w:vAlign w:val="center"/>
          </w:tcPr>
          <w:p>
            <w:pPr>
              <w:spacing w:line="260" w:lineRule="exact"/>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9</w:t>
            </w:r>
            <w:r>
              <w:rPr>
                <w:rFonts w:hint="default" w:asciiTheme="minorEastAsia" w:hAnsiTheme="minorEastAsia" w:eastAsia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lang w:val="en-US" w:eastAsia="zh-CN"/>
              </w:rPr>
              <w:t>.99</w:t>
            </w:r>
          </w:p>
        </w:tc>
        <w:tc>
          <w:tcPr>
            <w:tcW w:w="1153" w:type="dxa"/>
            <w:vAlign w:val="center"/>
          </w:tcPr>
          <w:p>
            <w:pPr>
              <w:spacing w:line="26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w:t>
            </w:r>
          </w:p>
        </w:tc>
      </w:tr>
    </w:tbl>
    <w:p>
      <w:pPr>
        <w:spacing w:before="156" w:beforeLines="50"/>
        <w:jc w:val="left"/>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color w:val="auto"/>
          <w:sz w:val="21"/>
          <w:szCs w:val="21"/>
          <w:highlight w:val="none"/>
        </w:rPr>
        <w:t>单位负责人签字：         填表人：</w:t>
      </w:r>
      <w:r>
        <w:rPr>
          <w:rFonts w:hint="eastAsia" w:asciiTheme="minorEastAsia" w:hAnsiTheme="minorEastAsia" w:eastAsiaTheme="minorEastAsia" w:cstheme="minorEastAsia"/>
          <w:color w:val="auto"/>
          <w:sz w:val="21"/>
          <w:szCs w:val="21"/>
          <w:highlight w:val="none"/>
          <w:lang w:val="en-US" w:eastAsia="zh-CN"/>
        </w:rPr>
        <w:t xml:space="preserve">杨琛 </w:t>
      </w:r>
      <w:r>
        <w:rPr>
          <w:rFonts w:hint="eastAsia" w:asciiTheme="minorEastAsia" w:hAnsiTheme="minorEastAsia" w:eastAsiaTheme="minorEastAsia" w:cstheme="minorEastAsia"/>
          <w:color w:val="auto"/>
          <w:sz w:val="21"/>
          <w:szCs w:val="21"/>
          <w:highlight w:val="none"/>
        </w:rPr>
        <w:t>联系电话：</w:t>
      </w:r>
      <w:r>
        <w:rPr>
          <w:rFonts w:hint="eastAsia" w:asciiTheme="minorEastAsia" w:hAnsiTheme="minorEastAsia" w:eastAsiaTheme="minorEastAsia" w:cstheme="minorEastAsia"/>
          <w:color w:val="auto"/>
          <w:sz w:val="21"/>
          <w:szCs w:val="21"/>
          <w:highlight w:val="none"/>
          <w:lang w:val="en-US" w:eastAsia="zh-CN"/>
        </w:rPr>
        <w:t xml:space="preserve">18674340420   </w:t>
      </w:r>
      <w:r>
        <w:rPr>
          <w:rFonts w:hint="eastAsia" w:asciiTheme="minorEastAsia" w:hAnsiTheme="minorEastAsia" w:eastAsiaTheme="minorEastAsia" w:cstheme="minorEastAsia"/>
          <w:color w:val="auto"/>
          <w:sz w:val="21"/>
          <w:szCs w:val="21"/>
          <w:highlight w:val="none"/>
        </w:rPr>
        <w:t>填报日期：202</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rPr>
        <w:t>年6月1</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日</w:t>
      </w:r>
    </w:p>
    <w:p>
      <w:pPr>
        <w:rPr>
          <w:rFonts w:hint="eastAsia" w:asciiTheme="minorEastAsia" w:hAnsiTheme="minorEastAsia" w:eastAsiaTheme="minorEastAsia" w:cstheme="minorEastAsia"/>
          <w:color w:val="auto"/>
          <w:sz w:val="24"/>
          <w:szCs w:val="24"/>
          <w:highlight w:val="none"/>
        </w:rPr>
      </w:pPr>
    </w:p>
    <w:p>
      <w:pPr>
        <w:rPr>
          <w:rFonts w:hint="eastAsia" w:asciiTheme="minorEastAsia" w:hAnsiTheme="minorEastAsia" w:eastAsiaTheme="minorEastAsia" w:cstheme="minorEastAsia"/>
          <w:color w:val="auto"/>
          <w:sz w:val="24"/>
          <w:szCs w:val="24"/>
          <w:highlight w:val="none"/>
        </w:rPr>
      </w:pPr>
    </w:p>
    <w:p>
      <w:pPr>
        <w:rPr>
          <w:rFonts w:hint="eastAsia" w:asciiTheme="minorEastAsia" w:hAnsiTheme="minorEastAsia" w:eastAsiaTheme="minorEastAsia" w:cstheme="minorEastAsia"/>
          <w:color w:val="auto"/>
          <w:sz w:val="24"/>
          <w:szCs w:val="24"/>
          <w:highlight w:val="none"/>
        </w:rPr>
      </w:pPr>
    </w:p>
    <w:p>
      <w:pPr>
        <w:widowControl/>
        <w:spacing w:before="183" w:beforeLines="50" w:line="580" w:lineRule="exact"/>
        <w:outlineLvl w:val="0"/>
        <w:rPr>
          <w:rFonts w:hint="eastAsia" w:asciiTheme="minorEastAsia" w:hAnsiTheme="minorEastAsia" w:eastAsiaTheme="minorEastAsia" w:cstheme="minorEastAsia"/>
          <w:color w:val="auto"/>
          <w:sz w:val="24"/>
          <w:szCs w:val="24"/>
          <w:highlight w:val="none"/>
        </w:rPr>
      </w:pPr>
    </w:p>
    <w:p>
      <w:pPr>
        <w:widowControl/>
        <w:spacing w:before="183" w:beforeLines="50" w:line="580" w:lineRule="exact"/>
        <w:outlineLvl w:val="0"/>
        <w:rPr>
          <w:rFonts w:hint="eastAsia" w:asciiTheme="minorEastAsia" w:hAnsiTheme="minorEastAsia" w:eastAsiaTheme="minorEastAsia" w:cstheme="minorEastAsia"/>
          <w:color w:val="auto"/>
          <w:sz w:val="24"/>
          <w:szCs w:val="24"/>
          <w:highlight w:val="none"/>
        </w:rPr>
      </w:pPr>
    </w:p>
    <w:p>
      <w:pPr>
        <w:keepNext w:val="0"/>
        <w:keepLines w:val="0"/>
        <w:pageBreakBefore w:val="0"/>
        <w:kinsoku/>
        <w:wordWrap/>
        <w:overflowPunct/>
        <w:topLinePunct w:val="0"/>
        <w:autoSpaceDE/>
        <w:autoSpaceDN/>
        <w:bidi w:val="0"/>
        <w:adjustRightInd/>
        <w:snapToGrid/>
        <w:spacing w:line="340" w:lineRule="atLeast"/>
        <w:textAlignment w:val="auto"/>
        <w:rPr>
          <w:rFonts w:hint="eastAsia" w:ascii="仿宋" w:hAnsi="仿宋" w:eastAsia="仿宋" w:cs="仿宋"/>
          <w:b/>
          <w:bCs/>
          <w:color w:val="auto"/>
          <w:sz w:val="30"/>
          <w:szCs w:val="30"/>
          <w:lang w:val="en-US" w:eastAsia="zh-CN"/>
        </w:rPr>
      </w:pPr>
    </w:p>
    <w:p>
      <w:pPr>
        <w:keepNext w:val="0"/>
        <w:keepLines w:val="0"/>
        <w:pageBreakBefore w:val="0"/>
        <w:kinsoku/>
        <w:wordWrap/>
        <w:overflowPunct/>
        <w:topLinePunct w:val="0"/>
        <w:autoSpaceDE/>
        <w:autoSpaceDN/>
        <w:bidi w:val="0"/>
        <w:adjustRightInd/>
        <w:snapToGrid/>
        <w:spacing w:line="340" w:lineRule="atLeast"/>
        <w:textAlignment w:val="auto"/>
        <w:rPr>
          <w:rFonts w:hint="eastAsia" w:ascii="仿宋" w:hAnsi="仿宋" w:eastAsia="仿宋" w:cs="仿宋"/>
          <w:b/>
          <w:bCs/>
          <w:color w:val="auto"/>
          <w:sz w:val="30"/>
          <w:szCs w:val="30"/>
          <w:lang w:val="en-US" w:eastAsia="zh-CN"/>
        </w:rPr>
      </w:pPr>
    </w:p>
    <w:p>
      <w:pPr>
        <w:keepNext w:val="0"/>
        <w:keepLines w:val="0"/>
        <w:pageBreakBefore w:val="0"/>
        <w:kinsoku/>
        <w:wordWrap/>
        <w:overflowPunct/>
        <w:topLinePunct w:val="0"/>
        <w:autoSpaceDE/>
        <w:autoSpaceDN/>
        <w:bidi w:val="0"/>
        <w:adjustRightInd/>
        <w:snapToGrid/>
        <w:spacing w:line="340" w:lineRule="atLeast"/>
        <w:textAlignment w:val="auto"/>
        <w:rPr>
          <w:rFonts w:hint="eastAsia" w:ascii="仿宋" w:hAnsi="仿宋" w:eastAsia="仿宋" w:cs="仿宋"/>
          <w:b/>
          <w:bCs/>
          <w:color w:val="auto"/>
          <w:sz w:val="30"/>
          <w:szCs w:val="30"/>
          <w:lang w:val="en-US" w:eastAsia="zh-CN"/>
        </w:rPr>
      </w:pPr>
    </w:p>
    <w:p>
      <w:pPr>
        <w:keepNext w:val="0"/>
        <w:keepLines w:val="0"/>
        <w:pageBreakBefore w:val="0"/>
        <w:kinsoku/>
        <w:wordWrap/>
        <w:overflowPunct/>
        <w:topLinePunct w:val="0"/>
        <w:autoSpaceDE/>
        <w:autoSpaceDN/>
        <w:bidi w:val="0"/>
        <w:adjustRightInd/>
        <w:snapToGrid/>
        <w:spacing w:line="340" w:lineRule="atLeast"/>
        <w:textAlignment w:val="auto"/>
        <w:rPr>
          <w:rFonts w:hint="eastAsia" w:ascii="仿宋" w:hAnsi="仿宋" w:eastAsia="仿宋" w:cs="仿宋"/>
          <w:b/>
          <w:bCs/>
          <w:color w:val="auto"/>
          <w:sz w:val="30"/>
          <w:szCs w:val="30"/>
          <w:lang w:val="en-US" w:eastAsia="zh-CN"/>
        </w:rPr>
      </w:pPr>
    </w:p>
    <w:p>
      <w:pPr>
        <w:keepNext w:val="0"/>
        <w:keepLines w:val="0"/>
        <w:pageBreakBefore w:val="0"/>
        <w:kinsoku/>
        <w:wordWrap/>
        <w:overflowPunct/>
        <w:topLinePunct w:val="0"/>
        <w:autoSpaceDE/>
        <w:autoSpaceDN/>
        <w:bidi w:val="0"/>
        <w:adjustRightInd/>
        <w:snapToGrid/>
        <w:spacing w:line="340" w:lineRule="atLeast"/>
        <w:textAlignment w:val="auto"/>
        <w:rPr>
          <w:rFonts w:hint="eastAsia" w:ascii="仿宋" w:hAnsi="仿宋" w:eastAsia="仿宋" w:cs="仿宋"/>
          <w:b/>
          <w:bCs/>
          <w:color w:val="auto"/>
          <w:sz w:val="30"/>
          <w:szCs w:val="30"/>
          <w:lang w:val="en-US" w:eastAsia="zh-CN"/>
        </w:rPr>
      </w:pPr>
    </w:p>
    <w:p>
      <w:pPr>
        <w:keepNext w:val="0"/>
        <w:keepLines w:val="0"/>
        <w:pageBreakBefore w:val="0"/>
        <w:kinsoku/>
        <w:wordWrap/>
        <w:overflowPunct/>
        <w:topLinePunct w:val="0"/>
        <w:autoSpaceDE/>
        <w:autoSpaceDN/>
        <w:bidi w:val="0"/>
        <w:adjustRightInd/>
        <w:snapToGrid/>
        <w:spacing w:line="340" w:lineRule="atLeast"/>
        <w:textAlignment w:val="auto"/>
        <w:rPr>
          <w:rFonts w:hint="eastAsia" w:ascii="仿宋" w:hAnsi="仿宋" w:eastAsia="仿宋" w:cs="仿宋"/>
          <w:b/>
          <w:bCs/>
          <w:color w:val="auto"/>
          <w:sz w:val="30"/>
          <w:szCs w:val="30"/>
          <w:lang w:val="en-US" w:eastAsia="zh-CN"/>
        </w:rPr>
      </w:pPr>
    </w:p>
    <w:p>
      <w:pPr>
        <w:keepNext w:val="0"/>
        <w:keepLines w:val="0"/>
        <w:pageBreakBefore w:val="0"/>
        <w:kinsoku/>
        <w:wordWrap/>
        <w:overflowPunct/>
        <w:topLinePunct w:val="0"/>
        <w:autoSpaceDE/>
        <w:autoSpaceDN/>
        <w:bidi w:val="0"/>
        <w:adjustRightInd/>
        <w:snapToGrid/>
        <w:spacing w:line="340" w:lineRule="atLeast"/>
        <w:textAlignment w:val="auto"/>
        <w:rPr>
          <w:rFonts w:hint="eastAsia" w:ascii="仿宋" w:hAnsi="仿宋" w:eastAsia="仿宋" w:cs="仿宋"/>
          <w:b/>
          <w:bCs/>
          <w:color w:val="auto"/>
          <w:sz w:val="30"/>
          <w:szCs w:val="30"/>
          <w:lang w:val="en-US" w:eastAsia="zh-CN"/>
        </w:rPr>
      </w:pPr>
    </w:p>
    <w:p>
      <w:pPr>
        <w:keepNext w:val="0"/>
        <w:keepLines w:val="0"/>
        <w:pageBreakBefore w:val="0"/>
        <w:kinsoku/>
        <w:wordWrap/>
        <w:overflowPunct/>
        <w:topLinePunct w:val="0"/>
        <w:autoSpaceDE/>
        <w:autoSpaceDN/>
        <w:bidi w:val="0"/>
        <w:adjustRightInd/>
        <w:snapToGrid/>
        <w:spacing w:line="340" w:lineRule="atLeast"/>
        <w:textAlignment w:val="auto"/>
        <w:rPr>
          <w:rFonts w:hint="eastAsia" w:ascii="仿宋" w:hAnsi="仿宋" w:eastAsia="仿宋" w:cs="仿宋"/>
          <w:b/>
          <w:bCs/>
          <w:color w:val="auto"/>
          <w:sz w:val="30"/>
          <w:szCs w:val="30"/>
          <w:lang w:val="en-US" w:eastAsia="zh-CN"/>
        </w:rPr>
      </w:pPr>
    </w:p>
    <w:p>
      <w:pPr>
        <w:keepNext w:val="0"/>
        <w:keepLines w:val="0"/>
        <w:pageBreakBefore w:val="0"/>
        <w:kinsoku/>
        <w:wordWrap/>
        <w:overflowPunct/>
        <w:topLinePunct w:val="0"/>
        <w:autoSpaceDE/>
        <w:autoSpaceDN/>
        <w:bidi w:val="0"/>
        <w:adjustRightInd/>
        <w:snapToGrid/>
        <w:spacing w:line="340" w:lineRule="atLeast"/>
        <w:textAlignment w:val="auto"/>
        <w:rPr>
          <w:rFonts w:hint="eastAsia" w:ascii="仿宋" w:hAnsi="仿宋" w:eastAsia="仿宋" w:cs="仿宋"/>
          <w:b/>
          <w:bCs/>
          <w:color w:val="auto"/>
          <w:sz w:val="30"/>
          <w:szCs w:val="30"/>
          <w:lang w:val="en-US" w:eastAsia="zh-CN"/>
        </w:rPr>
      </w:pPr>
    </w:p>
    <w:p>
      <w:pPr>
        <w:keepNext w:val="0"/>
        <w:keepLines w:val="0"/>
        <w:pageBreakBefore w:val="0"/>
        <w:kinsoku/>
        <w:wordWrap/>
        <w:overflowPunct/>
        <w:topLinePunct w:val="0"/>
        <w:autoSpaceDE/>
        <w:autoSpaceDN/>
        <w:bidi w:val="0"/>
        <w:adjustRightInd/>
        <w:snapToGrid/>
        <w:spacing w:line="340" w:lineRule="atLeast"/>
        <w:textAlignment w:val="auto"/>
        <w:rPr>
          <w:rFonts w:hint="eastAsia" w:ascii="仿宋" w:hAnsi="仿宋" w:eastAsia="仿宋" w:cs="仿宋"/>
          <w:b/>
          <w:bCs/>
          <w:color w:val="auto"/>
          <w:sz w:val="30"/>
          <w:szCs w:val="30"/>
          <w:lang w:val="en-US" w:eastAsia="zh-CN"/>
        </w:rPr>
      </w:pPr>
    </w:p>
    <w:p>
      <w:pPr>
        <w:keepNext w:val="0"/>
        <w:keepLines w:val="0"/>
        <w:pageBreakBefore w:val="0"/>
        <w:kinsoku/>
        <w:wordWrap/>
        <w:overflowPunct/>
        <w:topLinePunct w:val="0"/>
        <w:autoSpaceDE/>
        <w:autoSpaceDN/>
        <w:bidi w:val="0"/>
        <w:adjustRightInd/>
        <w:snapToGrid/>
        <w:spacing w:line="340" w:lineRule="atLeast"/>
        <w:textAlignment w:val="auto"/>
        <w:rPr>
          <w:rFonts w:hint="eastAsia" w:ascii="仿宋" w:hAnsi="仿宋" w:eastAsia="仿宋" w:cs="仿宋"/>
          <w:b/>
          <w:bCs/>
          <w:color w:val="auto"/>
          <w:sz w:val="30"/>
          <w:szCs w:val="30"/>
          <w:lang w:val="en-US" w:eastAsia="zh-CN"/>
        </w:rPr>
      </w:pPr>
    </w:p>
    <w:p>
      <w:pPr>
        <w:keepNext w:val="0"/>
        <w:keepLines w:val="0"/>
        <w:pageBreakBefore w:val="0"/>
        <w:kinsoku/>
        <w:wordWrap/>
        <w:overflowPunct/>
        <w:topLinePunct w:val="0"/>
        <w:autoSpaceDE/>
        <w:autoSpaceDN/>
        <w:bidi w:val="0"/>
        <w:adjustRightInd/>
        <w:snapToGrid/>
        <w:spacing w:line="340" w:lineRule="atLeast"/>
        <w:textAlignment w:val="auto"/>
        <w:rPr>
          <w:rFonts w:hint="eastAsia" w:ascii="仿宋" w:hAnsi="仿宋" w:eastAsia="仿宋" w:cs="仿宋"/>
          <w:b/>
          <w:bCs/>
          <w:color w:val="auto"/>
          <w:sz w:val="30"/>
          <w:szCs w:val="30"/>
          <w:lang w:val="en-US" w:eastAsia="zh-CN"/>
        </w:rPr>
      </w:pPr>
    </w:p>
    <w:p>
      <w:pPr>
        <w:keepNext w:val="0"/>
        <w:keepLines w:val="0"/>
        <w:pageBreakBefore w:val="0"/>
        <w:kinsoku/>
        <w:wordWrap/>
        <w:overflowPunct/>
        <w:topLinePunct w:val="0"/>
        <w:autoSpaceDE/>
        <w:autoSpaceDN/>
        <w:bidi w:val="0"/>
        <w:adjustRightInd/>
        <w:snapToGrid/>
        <w:spacing w:line="340" w:lineRule="atLeast"/>
        <w:textAlignment w:val="auto"/>
        <w:rPr>
          <w:rFonts w:hint="eastAsia" w:ascii="仿宋" w:hAnsi="仿宋" w:eastAsia="仿宋" w:cs="仿宋"/>
          <w:b/>
          <w:bCs/>
          <w:color w:val="auto"/>
          <w:sz w:val="30"/>
          <w:szCs w:val="30"/>
          <w:lang w:val="en-US" w:eastAsia="zh-CN"/>
        </w:rPr>
      </w:pPr>
    </w:p>
    <w:p>
      <w:pPr>
        <w:keepNext w:val="0"/>
        <w:keepLines w:val="0"/>
        <w:pageBreakBefore w:val="0"/>
        <w:kinsoku/>
        <w:wordWrap/>
        <w:overflowPunct/>
        <w:topLinePunct w:val="0"/>
        <w:autoSpaceDE/>
        <w:autoSpaceDN/>
        <w:bidi w:val="0"/>
        <w:adjustRightInd/>
        <w:snapToGrid/>
        <w:spacing w:line="340" w:lineRule="atLeast"/>
        <w:textAlignment w:val="auto"/>
        <w:rPr>
          <w:rFonts w:hint="eastAsia" w:ascii="仿宋" w:hAnsi="仿宋" w:eastAsia="仿宋" w:cs="仿宋"/>
          <w:b/>
          <w:bCs/>
          <w:color w:val="auto"/>
          <w:sz w:val="30"/>
          <w:szCs w:val="30"/>
          <w:lang w:val="en-US" w:eastAsia="zh-CN"/>
        </w:rPr>
      </w:pPr>
    </w:p>
    <w:p>
      <w:pPr>
        <w:keepNext w:val="0"/>
        <w:keepLines w:val="0"/>
        <w:pageBreakBefore w:val="0"/>
        <w:kinsoku/>
        <w:wordWrap/>
        <w:overflowPunct/>
        <w:topLinePunct w:val="0"/>
        <w:autoSpaceDE/>
        <w:autoSpaceDN/>
        <w:bidi w:val="0"/>
        <w:adjustRightInd/>
        <w:snapToGrid/>
        <w:spacing w:line="340" w:lineRule="atLeast"/>
        <w:textAlignment w:val="auto"/>
        <w:rPr>
          <w:rFonts w:ascii="Arial"/>
          <w:color w:val="auto"/>
          <w:sz w:val="21"/>
        </w:rPr>
      </w:pPr>
      <w:bookmarkStart w:id="13" w:name="_GoBack"/>
      <w:bookmarkEnd w:id="13"/>
      <w:r>
        <w:rPr>
          <w:rFonts w:hint="eastAsia" w:ascii="仿宋" w:hAnsi="仿宋" w:eastAsia="仿宋" w:cs="仿宋"/>
          <w:b/>
          <w:bCs/>
          <w:color w:val="auto"/>
          <w:sz w:val="30"/>
          <w:szCs w:val="30"/>
          <w:lang w:val="en-US" w:eastAsia="zh-CN"/>
        </w:rPr>
        <w:t>附件3  关于开展2022年度州直预算部门整体支出绩效自评的通知</w:t>
      </w:r>
    </w:p>
    <w:p>
      <w:pPr>
        <w:spacing w:line="279" w:lineRule="auto"/>
        <w:rPr>
          <w:rFonts w:ascii="Arial"/>
          <w:color w:val="auto"/>
          <w:sz w:val="21"/>
        </w:rPr>
      </w:pPr>
    </w:p>
    <w:p>
      <w:pPr>
        <w:spacing w:line="279" w:lineRule="auto"/>
        <w:rPr>
          <w:color w:val="auto"/>
        </w:rPr>
      </w:pPr>
      <w:r>
        <w:rPr>
          <w:color w:val="auto"/>
        </w:rPr>
        <w:drawing>
          <wp:inline distT="0" distB="0" distL="114300" distR="114300">
            <wp:extent cx="5466080" cy="7677785"/>
            <wp:effectExtent l="0" t="0" r="1270" b="1841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6"/>
                    <a:stretch>
                      <a:fillRect/>
                    </a:stretch>
                  </pic:blipFill>
                  <pic:spPr>
                    <a:xfrm>
                      <a:off x="0" y="0"/>
                      <a:ext cx="5466080" cy="7677785"/>
                    </a:xfrm>
                    <a:prstGeom prst="rect">
                      <a:avLst/>
                    </a:prstGeom>
                    <a:noFill/>
                    <a:ln>
                      <a:noFill/>
                    </a:ln>
                  </pic:spPr>
                </pic:pic>
              </a:graphicData>
            </a:graphic>
          </wp:inline>
        </w:drawing>
      </w:r>
    </w:p>
    <w:p>
      <w:pPr>
        <w:pStyle w:val="2"/>
        <w:rPr>
          <w:color w:val="auto"/>
        </w:rPr>
      </w:pPr>
      <w:r>
        <w:rPr>
          <w:color w:val="auto"/>
        </w:rPr>
        <w:drawing>
          <wp:inline distT="0" distB="0" distL="114300" distR="114300">
            <wp:extent cx="5486400" cy="7829550"/>
            <wp:effectExtent l="0" t="0" r="0"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7"/>
                    <a:stretch>
                      <a:fillRect/>
                    </a:stretch>
                  </pic:blipFill>
                  <pic:spPr>
                    <a:xfrm>
                      <a:off x="0" y="0"/>
                      <a:ext cx="5486400" cy="7829550"/>
                    </a:xfrm>
                    <a:prstGeom prst="rect">
                      <a:avLst/>
                    </a:prstGeom>
                    <a:noFill/>
                    <a:ln>
                      <a:noFill/>
                    </a:ln>
                  </pic:spPr>
                </pic:pic>
              </a:graphicData>
            </a:graphic>
          </wp:inline>
        </w:drawing>
      </w:r>
      <w:r>
        <w:rPr>
          <w:color w:val="auto"/>
        </w:rPr>
        <w:drawing>
          <wp:inline distT="0" distB="0" distL="114300" distR="114300">
            <wp:extent cx="5438775" cy="7934325"/>
            <wp:effectExtent l="0" t="0" r="9525" b="952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8"/>
                    <a:stretch>
                      <a:fillRect/>
                    </a:stretch>
                  </pic:blipFill>
                  <pic:spPr>
                    <a:xfrm>
                      <a:off x="0" y="0"/>
                      <a:ext cx="5438775" cy="7934325"/>
                    </a:xfrm>
                    <a:prstGeom prst="rect">
                      <a:avLst/>
                    </a:prstGeom>
                    <a:noFill/>
                    <a:ln>
                      <a:noFill/>
                    </a:ln>
                  </pic:spPr>
                </pic:pic>
              </a:graphicData>
            </a:graphic>
          </wp:inline>
        </w:drawing>
      </w:r>
    </w:p>
    <w:p>
      <w:pPr>
        <w:rPr>
          <w:color w:val="auto"/>
        </w:rPr>
      </w:pPr>
    </w:p>
    <w:p>
      <w:pPr>
        <w:pStyle w:val="2"/>
        <w:rPr>
          <w:color w:val="auto"/>
        </w:rPr>
      </w:pPr>
      <w:r>
        <w:rPr>
          <w:color w:val="auto"/>
        </w:rPr>
        <w:drawing>
          <wp:inline distT="0" distB="0" distL="114300" distR="114300">
            <wp:extent cx="5457825" cy="7981315"/>
            <wp:effectExtent l="0" t="0" r="9525" b="63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9"/>
                    <a:stretch>
                      <a:fillRect/>
                    </a:stretch>
                  </pic:blipFill>
                  <pic:spPr>
                    <a:xfrm>
                      <a:off x="0" y="0"/>
                      <a:ext cx="5457825" cy="7981315"/>
                    </a:xfrm>
                    <a:prstGeom prst="rect">
                      <a:avLst/>
                    </a:prstGeom>
                    <a:noFill/>
                    <a:ln>
                      <a:noFill/>
                    </a:ln>
                  </pic:spPr>
                </pic:pic>
              </a:graphicData>
            </a:graphic>
          </wp:inline>
        </w:drawing>
      </w:r>
      <w:r>
        <w:rPr>
          <w:color w:val="auto"/>
        </w:rPr>
        <w:drawing>
          <wp:inline distT="0" distB="0" distL="114300" distR="114300">
            <wp:extent cx="5391150" cy="7733665"/>
            <wp:effectExtent l="0" t="0" r="0" b="63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0"/>
                    <a:stretch>
                      <a:fillRect/>
                    </a:stretch>
                  </pic:blipFill>
                  <pic:spPr>
                    <a:xfrm>
                      <a:off x="0" y="0"/>
                      <a:ext cx="5391150" cy="7733665"/>
                    </a:xfrm>
                    <a:prstGeom prst="rect">
                      <a:avLst/>
                    </a:prstGeom>
                    <a:noFill/>
                    <a:ln>
                      <a:noFill/>
                    </a:ln>
                  </pic:spPr>
                </pic:pic>
              </a:graphicData>
            </a:graphic>
          </wp:inline>
        </w:drawing>
      </w:r>
    </w:p>
    <w:p>
      <w:pPr>
        <w:jc w:val="center"/>
        <w:rPr>
          <w:rFonts w:ascii="Arial"/>
          <w:color w:val="auto"/>
          <w:sz w:val="21"/>
        </w:rPr>
      </w:pPr>
      <w:r>
        <w:rPr>
          <w:color w:val="auto"/>
        </w:rPr>
        <w:drawing>
          <wp:inline distT="0" distB="0" distL="114300" distR="114300">
            <wp:extent cx="5467350" cy="7991475"/>
            <wp:effectExtent l="0" t="0" r="0" b="952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1"/>
                    <a:stretch>
                      <a:fillRect/>
                    </a:stretch>
                  </pic:blipFill>
                  <pic:spPr>
                    <a:xfrm>
                      <a:off x="0" y="0"/>
                      <a:ext cx="5467350" cy="7991475"/>
                    </a:xfrm>
                    <a:prstGeom prst="rect">
                      <a:avLst/>
                    </a:prstGeom>
                    <a:noFill/>
                    <a:ln>
                      <a:noFill/>
                    </a:ln>
                  </pic:spPr>
                </pic:pic>
              </a:graphicData>
            </a:graphic>
          </wp:inline>
        </w:drawing>
      </w:r>
      <w:r>
        <w:rPr>
          <w:color w:val="auto"/>
        </w:rPr>
        <w:drawing>
          <wp:inline distT="0" distB="0" distL="114300" distR="114300">
            <wp:extent cx="5438775" cy="7733665"/>
            <wp:effectExtent l="0" t="0" r="9525" b="63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2"/>
                    <a:stretch>
                      <a:fillRect/>
                    </a:stretch>
                  </pic:blipFill>
                  <pic:spPr>
                    <a:xfrm>
                      <a:off x="0" y="0"/>
                      <a:ext cx="5438775" cy="7733665"/>
                    </a:xfrm>
                    <a:prstGeom prst="rect">
                      <a:avLst/>
                    </a:prstGeom>
                    <a:noFill/>
                    <a:ln>
                      <a:noFill/>
                    </a:ln>
                  </pic:spPr>
                </pic:pic>
              </a:graphicData>
            </a:graphic>
          </wp:inline>
        </w:drawing>
      </w:r>
      <w:r>
        <w:rPr>
          <w:color w:val="auto"/>
        </w:rPr>
        <w:drawing>
          <wp:inline distT="0" distB="0" distL="114300" distR="114300">
            <wp:extent cx="5429250" cy="8000365"/>
            <wp:effectExtent l="0" t="0" r="0" b="635"/>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13"/>
                    <a:stretch>
                      <a:fillRect/>
                    </a:stretch>
                  </pic:blipFill>
                  <pic:spPr>
                    <a:xfrm>
                      <a:off x="0" y="0"/>
                      <a:ext cx="5429250" cy="8000365"/>
                    </a:xfrm>
                    <a:prstGeom prst="rect">
                      <a:avLst/>
                    </a:prstGeom>
                    <a:noFill/>
                    <a:ln>
                      <a:noFill/>
                    </a:ln>
                  </pic:spPr>
                </pic:pic>
              </a:graphicData>
            </a:graphic>
          </wp:inline>
        </w:drawing>
      </w:r>
      <w:r>
        <w:rPr>
          <w:color w:val="auto"/>
        </w:rPr>
        <w:drawing>
          <wp:inline distT="0" distB="0" distL="114300" distR="114300">
            <wp:extent cx="5438775" cy="7952740"/>
            <wp:effectExtent l="0" t="0" r="9525" b="1016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14"/>
                    <a:stretch>
                      <a:fillRect/>
                    </a:stretch>
                  </pic:blipFill>
                  <pic:spPr>
                    <a:xfrm>
                      <a:off x="0" y="0"/>
                      <a:ext cx="5438775" cy="7952740"/>
                    </a:xfrm>
                    <a:prstGeom prst="rect">
                      <a:avLst/>
                    </a:prstGeom>
                    <a:noFill/>
                    <a:ln>
                      <a:noFill/>
                    </a:ln>
                  </pic:spPr>
                </pic:pic>
              </a:graphicData>
            </a:graphic>
          </wp:inline>
        </w:drawing>
      </w:r>
      <w:r>
        <w:rPr>
          <w:color w:val="auto"/>
        </w:rPr>
        <w:drawing>
          <wp:inline distT="0" distB="0" distL="114300" distR="114300">
            <wp:extent cx="5467350" cy="7990840"/>
            <wp:effectExtent l="0" t="0" r="0" b="1016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15"/>
                    <a:stretch>
                      <a:fillRect/>
                    </a:stretch>
                  </pic:blipFill>
                  <pic:spPr>
                    <a:xfrm>
                      <a:off x="0" y="0"/>
                      <a:ext cx="5467350" cy="7990840"/>
                    </a:xfrm>
                    <a:prstGeom prst="rect">
                      <a:avLst/>
                    </a:prstGeom>
                    <a:noFill/>
                    <a:ln>
                      <a:noFill/>
                    </a:ln>
                  </pic:spPr>
                </pic:pic>
              </a:graphicData>
            </a:graphic>
          </wp:inline>
        </w:drawing>
      </w:r>
      <w:r>
        <w:rPr>
          <w:color w:val="auto"/>
        </w:rPr>
        <w:drawing>
          <wp:inline distT="0" distB="0" distL="114300" distR="114300">
            <wp:extent cx="5381625" cy="7886065"/>
            <wp:effectExtent l="0" t="0" r="9525" b="635"/>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16"/>
                    <a:stretch>
                      <a:fillRect/>
                    </a:stretch>
                  </pic:blipFill>
                  <pic:spPr>
                    <a:xfrm>
                      <a:off x="0" y="0"/>
                      <a:ext cx="5381625" cy="7886065"/>
                    </a:xfrm>
                    <a:prstGeom prst="rect">
                      <a:avLst/>
                    </a:prstGeom>
                    <a:noFill/>
                    <a:ln>
                      <a:noFill/>
                    </a:ln>
                  </pic:spPr>
                </pic:pic>
              </a:graphicData>
            </a:graphic>
          </wp:inline>
        </w:drawing>
      </w:r>
      <w:r>
        <w:rPr>
          <w:color w:val="auto"/>
        </w:rPr>
        <w:drawing>
          <wp:inline distT="0" distB="0" distL="114300" distR="114300">
            <wp:extent cx="5627370" cy="7943215"/>
            <wp:effectExtent l="0" t="0" r="11430" b="635"/>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17"/>
                    <a:stretch>
                      <a:fillRect/>
                    </a:stretch>
                  </pic:blipFill>
                  <pic:spPr>
                    <a:xfrm>
                      <a:off x="0" y="0"/>
                      <a:ext cx="5627370" cy="7943215"/>
                    </a:xfrm>
                    <a:prstGeom prst="rect">
                      <a:avLst/>
                    </a:prstGeom>
                    <a:noFill/>
                    <a:ln>
                      <a:noFill/>
                    </a:ln>
                  </pic:spPr>
                </pic:pic>
              </a:graphicData>
            </a:graphic>
          </wp:inline>
        </w:drawing>
      </w:r>
      <w:r>
        <w:rPr>
          <w:color w:val="auto"/>
        </w:rPr>
        <w:drawing>
          <wp:inline distT="0" distB="0" distL="114300" distR="114300">
            <wp:extent cx="5448300" cy="7724775"/>
            <wp:effectExtent l="0" t="0" r="0" b="9525"/>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18"/>
                    <a:stretch>
                      <a:fillRect/>
                    </a:stretch>
                  </pic:blipFill>
                  <pic:spPr>
                    <a:xfrm>
                      <a:off x="0" y="0"/>
                      <a:ext cx="5448300" cy="7724775"/>
                    </a:xfrm>
                    <a:prstGeom prst="rect">
                      <a:avLst/>
                    </a:prstGeom>
                    <a:noFill/>
                    <a:ln>
                      <a:noFill/>
                    </a:ln>
                  </pic:spPr>
                </pic:pic>
              </a:graphicData>
            </a:graphic>
          </wp:inline>
        </w:drawing>
      </w:r>
      <w:r>
        <w:rPr>
          <w:color w:val="auto"/>
        </w:rPr>
        <w:drawing>
          <wp:inline distT="0" distB="0" distL="114300" distR="114300">
            <wp:extent cx="5457825" cy="7734300"/>
            <wp:effectExtent l="0" t="0" r="9525" b="0"/>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19"/>
                    <a:stretch>
                      <a:fillRect/>
                    </a:stretch>
                  </pic:blipFill>
                  <pic:spPr>
                    <a:xfrm>
                      <a:off x="0" y="0"/>
                      <a:ext cx="5457825" cy="7734300"/>
                    </a:xfrm>
                    <a:prstGeom prst="rect">
                      <a:avLst/>
                    </a:prstGeom>
                    <a:noFill/>
                    <a:ln>
                      <a:noFill/>
                    </a:ln>
                  </pic:spPr>
                </pic:pic>
              </a:graphicData>
            </a:graphic>
          </wp:inline>
        </w:drawing>
      </w:r>
    </w:p>
    <w:p>
      <w:pPr>
        <w:spacing w:line="279" w:lineRule="auto"/>
        <w:rPr>
          <w:rFonts w:ascii="Arial"/>
          <w:color w:val="auto"/>
          <w:sz w:val="21"/>
        </w:rPr>
      </w:pPr>
    </w:p>
    <w:p>
      <w:pPr>
        <w:spacing w:line="279" w:lineRule="auto"/>
        <w:rPr>
          <w:rFonts w:ascii="Arial"/>
          <w:color w:val="auto"/>
          <w:sz w:val="21"/>
        </w:rPr>
      </w:pPr>
    </w:p>
    <w:p>
      <w:pPr>
        <w:spacing w:line="279" w:lineRule="auto"/>
        <w:rPr>
          <w:rFonts w:ascii="Arial"/>
          <w:color w:val="auto"/>
          <w:sz w:val="21"/>
        </w:rPr>
      </w:pPr>
    </w:p>
    <w:p>
      <w:pPr>
        <w:spacing w:line="279" w:lineRule="auto"/>
        <w:rPr>
          <w:rFonts w:hint="default" w:ascii="Arial" w:eastAsia="宋体"/>
          <w:color w:val="auto"/>
          <w:sz w:val="21"/>
          <w:lang w:val="en-US" w:eastAsia="zh-CN"/>
        </w:rPr>
      </w:pPr>
    </w:p>
    <w:sectPr>
      <w:footerReference r:id="rId4" w:type="default"/>
      <w:pgSz w:w="11906" w:h="16838"/>
      <w:pgMar w:top="1440" w:right="1066" w:bottom="1440" w:left="16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AB6622D-CA60-4D9B-835B-84F114316723}"/>
  </w:font>
  <w:font w:name="黑体">
    <w:panose1 w:val="02010609060101010101"/>
    <w:charset w:val="86"/>
    <w:family w:val="auto"/>
    <w:pitch w:val="default"/>
    <w:sig w:usb0="800002BF" w:usb1="38CF7CFA" w:usb2="00000016" w:usb3="00000000" w:csb0="00040001" w:csb1="00000000"/>
    <w:embedRegular r:id="rId2" w:fontKey="{91C07BFE-6ECC-4116-962B-9A9B2CC453A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00000001" w:usb1="08000000" w:usb2="00000000" w:usb3="00000000" w:csb0="00040000" w:csb1="00000000"/>
    <w:embedRegular r:id="rId3" w:fontKey="{538E238D-1ACA-474D-8C4D-CD615D9E41F9}"/>
  </w:font>
  <w:font w:name="仿宋_GB2312">
    <w:panose1 w:val="02010609030101010101"/>
    <w:charset w:val="86"/>
    <w:family w:val="auto"/>
    <w:pitch w:val="default"/>
    <w:sig w:usb0="00000001" w:usb1="080E0000" w:usb2="00000000" w:usb3="00000000" w:csb0="00040000" w:csb1="00000000"/>
    <w:embedRegular r:id="rId4" w:fontKey="{8A19A194-80C4-404C-922E-11B6621858C7}"/>
  </w:font>
  <w:font w:name="方正小标宋_GBK">
    <w:panose1 w:val="02000000000000000000"/>
    <w:charset w:val="86"/>
    <w:family w:val="script"/>
    <w:pitch w:val="default"/>
    <w:sig w:usb0="A00002BF" w:usb1="38CF7CFA" w:usb2="00082016" w:usb3="00000000" w:csb0="00040001" w:csb1="00000000"/>
    <w:embedRegular r:id="rId5" w:fontKey="{11023C2E-98F1-4B20-B441-5551E57B460D}"/>
  </w:font>
  <w:font w:name="仿宋">
    <w:panose1 w:val="02010609060101010101"/>
    <w:charset w:val="86"/>
    <w:family w:val="modern"/>
    <w:pitch w:val="default"/>
    <w:sig w:usb0="800002BF" w:usb1="38CF7CFA" w:usb2="00000016" w:usb3="00000000" w:csb0="00040001" w:csb1="00000000"/>
    <w:embedRegular r:id="rId6" w:fontKey="{7A87F1FB-BE87-4E0E-81BC-6131C7600B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F9A945"/>
    <w:multiLevelType w:val="singleLevel"/>
    <w:tmpl w:val="DAF9A945"/>
    <w:lvl w:ilvl="0" w:tentative="0">
      <w:start w:val="1"/>
      <w:numFmt w:val="decimal"/>
      <w:suff w:val="nothing"/>
      <w:lvlText w:val="%1、"/>
      <w:lvlJc w:val="left"/>
    </w:lvl>
  </w:abstractNum>
  <w:abstractNum w:abstractNumId="1">
    <w:nsid w:val="44443443"/>
    <w:multiLevelType w:val="singleLevel"/>
    <w:tmpl w:val="44443443"/>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mMWU3MTA5NzI2OGYyM2FlNjNhNzg3YTA0YzhmYWIifQ=="/>
  </w:docVars>
  <w:rsids>
    <w:rsidRoot w:val="00172A27"/>
    <w:rsid w:val="000056BF"/>
    <w:rsid w:val="00006CE2"/>
    <w:rsid w:val="000121F3"/>
    <w:rsid w:val="00026F4C"/>
    <w:rsid w:val="00031092"/>
    <w:rsid w:val="000314DB"/>
    <w:rsid w:val="00031CBC"/>
    <w:rsid w:val="000329F2"/>
    <w:rsid w:val="00042501"/>
    <w:rsid w:val="0007117F"/>
    <w:rsid w:val="00076B13"/>
    <w:rsid w:val="00086DD9"/>
    <w:rsid w:val="000921FC"/>
    <w:rsid w:val="0009362D"/>
    <w:rsid w:val="000C3A21"/>
    <w:rsid w:val="000C436D"/>
    <w:rsid w:val="000C4543"/>
    <w:rsid w:val="000F37DA"/>
    <w:rsid w:val="000F5645"/>
    <w:rsid w:val="000F5ACA"/>
    <w:rsid w:val="00107558"/>
    <w:rsid w:val="00110776"/>
    <w:rsid w:val="00114E56"/>
    <w:rsid w:val="001167C0"/>
    <w:rsid w:val="00121486"/>
    <w:rsid w:val="001235FA"/>
    <w:rsid w:val="00133163"/>
    <w:rsid w:val="001606EB"/>
    <w:rsid w:val="00162780"/>
    <w:rsid w:val="00172A27"/>
    <w:rsid w:val="00173F6F"/>
    <w:rsid w:val="00180F1C"/>
    <w:rsid w:val="00183957"/>
    <w:rsid w:val="001A1BEB"/>
    <w:rsid w:val="001C1112"/>
    <w:rsid w:val="001C6B9D"/>
    <w:rsid w:val="001C6FFB"/>
    <w:rsid w:val="001D65C1"/>
    <w:rsid w:val="001E0D64"/>
    <w:rsid w:val="001F0DE2"/>
    <w:rsid w:val="001F51AD"/>
    <w:rsid w:val="002050E0"/>
    <w:rsid w:val="002115A9"/>
    <w:rsid w:val="00216EAC"/>
    <w:rsid w:val="00217AF2"/>
    <w:rsid w:val="002252EB"/>
    <w:rsid w:val="00242041"/>
    <w:rsid w:val="00243CEA"/>
    <w:rsid w:val="00252235"/>
    <w:rsid w:val="00254B54"/>
    <w:rsid w:val="00287EEF"/>
    <w:rsid w:val="00295B92"/>
    <w:rsid w:val="002A346C"/>
    <w:rsid w:val="002A3EB2"/>
    <w:rsid w:val="002B1235"/>
    <w:rsid w:val="002B497E"/>
    <w:rsid w:val="002C34AE"/>
    <w:rsid w:val="002D31AB"/>
    <w:rsid w:val="002F06E9"/>
    <w:rsid w:val="002F0CED"/>
    <w:rsid w:val="002F50BA"/>
    <w:rsid w:val="002F58E6"/>
    <w:rsid w:val="00304135"/>
    <w:rsid w:val="003152E6"/>
    <w:rsid w:val="003223E0"/>
    <w:rsid w:val="0032273C"/>
    <w:rsid w:val="00325C2D"/>
    <w:rsid w:val="00330110"/>
    <w:rsid w:val="00340108"/>
    <w:rsid w:val="003412FD"/>
    <w:rsid w:val="00341F62"/>
    <w:rsid w:val="00347491"/>
    <w:rsid w:val="00350058"/>
    <w:rsid w:val="0035413E"/>
    <w:rsid w:val="00391101"/>
    <w:rsid w:val="00395A84"/>
    <w:rsid w:val="003A5DE2"/>
    <w:rsid w:val="003B06A8"/>
    <w:rsid w:val="003B6522"/>
    <w:rsid w:val="003D04CC"/>
    <w:rsid w:val="003E7207"/>
    <w:rsid w:val="003F0C2D"/>
    <w:rsid w:val="003F21B0"/>
    <w:rsid w:val="004005C2"/>
    <w:rsid w:val="00402632"/>
    <w:rsid w:val="00407A76"/>
    <w:rsid w:val="004102DE"/>
    <w:rsid w:val="00420B52"/>
    <w:rsid w:val="00424B74"/>
    <w:rsid w:val="004356F5"/>
    <w:rsid w:val="004401B8"/>
    <w:rsid w:val="004455B5"/>
    <w:rsid w:val="00452443"/>
    <w:rsid w:val="00463726"/>
    <w:rsid w:val="004728F5"/>
    <w:rsid w:val="00480FB0"/>
    <w:rsid w:val="00482DF4"/>
    <w:rsid w:val="00485D30"/>
    <w:rsid w:val="00495625"/>
    <w:rsid w:val="00495E7C"/>
    <w:rsid w:val="004A0C18"/>
    <w:rsid w:val="004B36A9"/>
    <w:rsid w:val="004C0FCE"/>
    <w:rsid w:val="004C4613"/>
    <w:rsid w:val="004D2E18"/>
    <w:rsid w:val="004F2065"/>
    <w:rsid w:val="004F61EA"/>
    <w:rsid w:val="004F7680"/>
    <w:rsid w:val="0050052D"/>
    <w:rsid w:val="00503E5E"/>
    <w:rsid w:val="00523470"/>
    <w:rsid w:val="00523C73"/>
    <w:rsid w:val="00524B2D"/>
    <w:rsid w:val="00534E7B"/>
    <w:rsid w:val="005376ED"/>
    <w:rsid w:val="00552CFA"/>
    <w:rsid w:val="00560E25"/>
    <w:rsid w:val="00562604"/>
    <w:rsid w:val="00567C73"/>
    <w:rsid w:val="00591B46"/>
    <w:rsid w:val="00597D8D"/>
    <w:rsid w:val="005B4566"/>
    <w:rsid w:val="005B4C58"/>
    <w:rsid w:val="005B4FAA"/>
    <w:rsid w:val="005C0AE0"/>
    <w:rsid w:val="005C2BF7"/>
    <w:rsid w:val="005C5E29"/>
    <w:rsid w:val="005C6E56"/>
    <w:rsid w:val="005C7345"/>
    <w:rsid w:val="005C7357"/>
    <w:rsid w:val="005D67BD"/>
    <w:rsid w:val="005E0ED6"/>
    <w:rsid w:val="005F2A5A"/>
    <w:rsid w:val="005F4A3D"/>
    <w:rsid w:val="006017CC"/>
    <w:rsid w:val="00604842"/>
    <w:rsid w:val="00604FCD"/>
    <w:rsid w:val="00605E50"/>
    <w:rsid w:val="006132FB"/>
    <w:rsid w:val="00615319"/>
    <w:rsid w:val="00616C74"/>
    <w:rsid w:val="00616E28"/>
    <w:rsid w:val="006270A4"/>
    <w:rsid w:val="006337EC"/>
    <w:rsid w:val="00654149"/>
    <w:rsid w:val="00672371"/>
    <w:rsid w:val="00680C0A"/>
    <w:rsid w:val="00686994"/>
    <w:rsid w:val="00692F9B"/>
    <w:rsid w:val="006A2DF5"/>
    <w:rsid w:val="006D7BD2"/>
    <w:rsid w:val="00701C93"/>
    <w:rsid w:val="00711D0A"/>
    <w:rsid w:val="00716AD5"/>
    <w:rsid w:val="00722D58"/>
    <w:rsid w:val="007239EA"/>
    <w:rsid w:val="00726C3A"/>
    <w:rsid w:val="00726D07"/>
    <w:rsid w:val="00730D4E"/>
    <w:rsid w:val="00746CBE"/>
    <w:rsid w:val="00750321"/>
    <w:rsid w:val="0076280F"/>
    <w:rsid w:val="0076283C"/>
    <w:rsid w:val="00766B13"/>
    <w:rsid w:val="007855A4"/>
    <w:rsid w:val="00796062"/>
    <w:rsid w:val="007A07E0"/>
    <w:rsid w:val="007B2A81"/>
    <w:rsid w:val="007B31C6"/>
    <w:rsid w:val="007B4D24"/>
    <w:rsid w:val="007C167D"/>
    <w:rsid w:val="007C612F"/>
    <w:rsid w:val="007C6F1D"/>
    <w:rsid w:val="007D2022"/>
    <w:rsid w:val="007D2256"/>
    <w:rsid w:val="007D267F"/>
    <w:rsid w:val="007E755A"/>
    <w:rsid w:val="007F0F80"/>
    <w:rsid w:val="00821526"/>
    <w:rsid w:val="008217EF"/>
    <w:rsid w:val="00823D97"/>
    <w:rsid w:val="008310C3"/>
    <w:rsid w:val="008343EE"/>
    <w:rsid w:val="0086173F"/>
    <w:rsid w:val="008645AE"/>
    <w:rsid w:val="00867784"/>
    <w:rsid w:val="00885069"/>
    <w:rsid w:val="00886070"/>
    <w:rsid w:val="0089274F"/>
    <w:rsid w:val="008A439C"/>
    <w:rsid w:val="008A5498"/>
    <w:rsid w:val="008C4062"/>
    <w:rsid w:val="008C464F"/>
    <w:rsid w:val="008D49E4"/>
    <w:rsid w:val="008D588B"/>
    <w:rsid w:val="008F04E4"/>
    <w:rsid w:val="008F6232"/>
    <w:rsid w:val="009077C1"/>
    <w:rsid w:val="009145E1"/>
    <w:rsid w:val="00926315"/>
    <w:rsid w:val="0093472B"/>
    <w:rsid w:val="009372CB"/>
    <w:rsid w:val="009428FE"/>
    <w:rsid w:val="00952B9E"/>
    <w:rsid w:val="00955F92"/>
    <w:rsid w:val="00966E76"/>
    <w:rsid w:val="00967535"/>
    <w:rsid w:val="00976AF2"/>
    <w:rsid w:val="009850BF"/>
    <w:rsid w:val="009959F5"/>
    <w:rsid w:val="009A18CE"/>
    <w:rsid w:val="009A2F2C"/>
    <w:rsid w:val="009A46BE"/>
    <w:rsid w:val="009B410E"/>
    <w:rsid w:val="009B7524"/>
    <w:rsid w:val="009C2102"/>
    <w:rsid w:val="009C7EE7"/>
    <w:rsid w:val="009E4400"/>
    <w:rsid w:val="009E48B6"/>
    <w:rsid w:val="009E7E56"/>
    <w:rsid w:val="009F7E23"/>
    <w:rsid w:val="009F7FED"/>
    <w:rsid w:val="00A0171B"/>
    <w:rsid w:val="00A017DA"/>
    <w:rsid w:val="00A051BD"/>
    <w:rsid w:val="00A0659F"/>
    <w:rsid w:val="00A07EC6"/>
    <w:rsid w:val="00A12203"/>
    <w:rsid w:val="00A1445D"/>
    <w:rsid w:val="00A2470B"/>
    <w:rsid w:val="00A26CF4"/>
    <w:rsid w:val="00A36899"/>
    <w:rsid w:val="00A42B05"/>
    <w:rsid w:val="00A555DA"/>
    <w:rsid w:val="00A56454"/>
    <w:rsid w:val="00A72CE8"/>
    <w:rsid w:val="00A72EC4"/>
    <w:rsid w:val="00A75455"/>
    <w:rsid w:val="00A757C3"/>
    <w:rsid w:val="00A932CE"/>
    <w:rsid w:val="00A9618C"/>
    <w:rsid w:val="00AA4683"/>
    <w:rsid w:val="00AD056F"/>
    <w:rsid w:val="00AE1242"/>
    <w:rsid w:val="00AE1BA8"/>
    <w:rsid w:val="00AE5C8E"/>
    <w:rsid w:val="00B0114A"/>
    <w:rsid w:val="00B0508F"/>
    <w:rsid w:val="00B135AB"/>
    <w:rsid w:val="00B21198"/>
    <w:rsid w:val="00B30921"/>
    <w:rsid w:val="00B53354"/>
    <w:rsid w:val="00B53A5C"/>
    <w:rsid w:val="00B56DE6"/>
    <w:rsid w:val="00B60C9C"/>
    <w:rsid w:val="00B626B2"/>
    <w:rsid w:val="00B64FCE"/>
    <w:rsid w:val="00B65395"/>
    <w:rsid w:val="00B836F5"/>
    <w:rsid w:val="00B84A42"/>
    <w:rsid w:val="00B90FD8"/>
    <w:rsid w:val="00B91484"/>
    <w:rsid w:val="00B939CF"/>
    <w:rsid w:val="00BA0F8E"/>
    <w:rsid w:val="00BB11CD"/>
    <w:rsid w:val="00BC6C4F"/>
    <w:rsid w:val="00BD022B"/>
    <w:rsid w:val="00BE275B"/>
    <w:rsid w:val="00BF77DF"/>
    <w:rsid w:val="00C06107"/>
    <w:rsid w:val="00C32277"/>
    <w:rsid w:val="00C37C11"/>
    <w:rsid w:val="00C534AC"/>
    <w:rsid w:val="00C834C1"/>
    <w:rsid w:val="00C93F41"/>
    <w:rsid w:val="00CA7462"/>
    <w:rsid w:val="00CB3997"/>
    <w:rsid w:val="00CB513F"/>
    <w:rsid w:val="00CB5418"/>
    <w:rsid w:val="00CD0E3F"/>
    <w:rsid w:val="00CD40F9"/>
    <w:rsid w:val="00CF28CB"/>
    <w:rsid w:val="00D02E85"/>
    <w:rsid w:val="00D61A23"/>
    <w:rsid w:val="00D76CA2"/>
    <w:rsid w:val="00D90AEE"/>
    <w:rsid w:val="00D90B2C"/>
    <w:rsid w:val="00D92B20"/>
    <w:rsid w:val="00D93FA0"/>
    <w:rsid w:val="00D94877"/>
    <w:rsid w:val="00DA04B4"/>
    <w:rsid w:val="00DA1D97"/>
    <w:rsid w:val="00DA31B5"/>
    <w:rsid w:val="00DA7AA2"/>
    <w:rsid w:val="00DC07E2"/>
    <w:rsid w:val="00DF2EC9"/>
    <w:rsid w:val="00DF5FEE"/>
    <w:rsid w:val="00DF6010"/>
    <w:rsid w:val="00E0157B"/>
    <w:rsid w:val="00E10881"/>
    <w:rsid w:val="00E12D28"/>
    <w:rsid w:val="00E21487"/>
    <w:rsid w:val="00E2238F"/>
    <w:rsid w:val="00E2308E"/>
    <w:rsid w:val="00E33D78"/>
    <w:rsid w:val="00E356DF"/>
    <w:rsid w:val="00E3777A"/>
    <w:rsid w:val="00E40880"/>
    <w:rsid w:val="00E4671F"/>
    <w:rsid w:val="00E510BA"/>
    <w:rsid w:val="00E57E25"/>
    <w:rsid w:val="00E607C6"/>
    <w:rsid w:val="00E63217"/>
    <w:rsid w:val="00E755E2"/>
    <w:rsid w:val="00E8027B"/>
    <w:rsid w:val="00E8197C"/>
    <w:rsid w:val="00E82FCE"/>
    <w:rsid w:val="00E865C2"/>
    <w:rsid w:val="00E91D77"/>
    <w:rsid w:val="00E953C9"/>
    <w:rsid w:val="00EA15C9"/>
    <w:rsid w:val="00EA37CA"/>
    <w:rsid w:val="00EA5F50"/>
    <w:rsid w:val="00EA70C7"/>
    <w:rsid w:val="00EC6F42"/>
    <w:rsid w:val="00ED19D9"/>
    <w:rsid w:val="00ED20DF"/>
    <w:rsid w:val="00ED293A"/>
    <w:rsid w:val="00EE154E"/>
    <w:rsid w:val="00EE5C2F"/>
    <w:rsid w:val="00F1161D"/>
    <w:rsid w:val="00F1178B"/>
    <w:rsid w:val="00F12F78"/>
    <w:rsid w:val="00F1430C"/>
    <w:rsid w:val="00F16FF4"/>
    <w:rsid w:val="00F20752"/>
    <w:rsid w:val="00F37378"/>
    <w:rsid w:val="00F37C08"/>
    <w:rsid w:val="00F535A4"/>
    <w:rsid w:val="00F53A27"/>
    <w:rsid w:val="00F579CC"/>
    <w:rsid w:val="00F86563"/>
    <w:rsid w:val="00F86BFD"/>
    <w:rsid w:val="00F91F5B"/>
    <w:rsid w:val="00F91F88"/>
    <w:rsid w:val="00FA00A3"/>
    <w:rsid w:val="00FA2913"/>
    <w:rsid w:val="00FB43D6"/>
    <w:rsid w:val="00FD20BA"/>
    <w:rsid w:val="00FD22FF"/>
    <w:rsid w:val="00FE68B9"/>
    <w:rsid w:val="00FF1310"/>
    <w:rsid w:val="00FF6222"/>
    <w:rsid w:val="01215E31"/>
    <w:rsid w:val="012D2227"/>
    <w:rsid w:val="016A6987"/>
    <w:rsid w:val="016F4726"/>
    <w:rsid w:val="017342F3"/>
    <w:rsid w:val="01780B5B"/>
    <w:rsid w:val="018C5AFF"/>
    <w:rsid w:val="01934593"/>
    <w:rsid w:val="01A926BF"/>
    <w:rsid w:val="01EC5C3E"/>
    <w:rsid w:val="01F47758"/>
    <w:rsid w:val="02225B04"/>
    <w:rsid w:val="022A6766"/>
    <w:rsid w:val="02473288"/>
    <w:rsid w:val="024A5156"/>
    <w:rsid w:val="024D75E9"/>
    <w:rsid w:val="02781BC8"/>
    <w:rsid w:val="027947F6"/>
    <w:rsid w:val="028265A2"/>
    <w:rsid w:val="02C43BE4"/>
    <w:rsid w:val="02CF46F2"/>
    <w:rsid w:val="02DA3561"/>
    <w:rsid w:val="02E458A7"/>
    <w:rsid w:val="02F94AB6"/>
    <w:rsid w:val="02FA438B"/>
    <w:rsid w:val="03232B43"/>
    <w:rsid w:val="03800D34"/>
    <w:rsid w:val="03C17992"/>
    <w:rsid w:val="03E07A24"/>
    <w:rsid w:val="03FA2B2E"/>
    <w:rsid w:val="03FF3B22"/>
    <w:rsid w:val="04104B11"/>
    <w:rsid w:val="04185410"/>
    <w:rsid w:val="04306D13"/>
    <w:rsid w:val="043B10FF"/>
    <w:rsid w:val="044310E1"/>
    <w:rsid w:val="044D244E"/>
    <w:rsid w:val="046027B8"/>
    <w:rsid w:val="046C02A0"/>
    <w:rsid w:val="04A96068"/>
    <w:rsid w:val="04C3537C"/>
    <w:rsid w:val="05075F15"/>
    <w:rsid w:val="050D65F7"/>
    <w:rsid w:val="051E25B2"/>
    <w:rsid w:val="055F573B"/>
    <w:rsid w:val="05A86C12"/>
    <w:rsid w:val="05B9677F"/>
    <w:rsid w:val="05C175D7"/>
    <w:rsid w:val="05EC4B3F"/>
    <w:rsid w:val="05F55465"/>
    <w:rsid w:val="062C6F51"/>
    <w:rsid w:val="063B3638"/>
    <w:rsid w:val="064E336B"/>
    <w:rsid w:val="06581AF4"/>
    <w:rsid w:val="065B15E4"/>
    <w:rsid w:val="06615687"/>
    <w:rsid w:val="06673C82"/>
    <w:rsid w:val="06733D80"/>
    <w:rsid w:val="069A5C2C"/>
    <w:rsid w:val="06C4690C"/>
    <w:rsid w:val="06CF1633"/>
    <w:rsid w:val="06E4782C"/>
    <w:rsid w:val="06F8470B"/>
    <w:rsid w:val="070B39F0"/>
    <w:rsid w:val="071D689A"/>
    <w:rsid w:val="072D2CBF"/>
    <w:rsid w:val="07565A95"/>
    <w:rsid w:val="07575CFE"/>
    <w:rsid w:val="076A5F6F"/>
    <w:rsid w:val="076B5857"/>
    <w:rsid w:val="07866B35"/>
    <w:rsid w:val="07A50E22"/>
    <w:rsid w:val="07D23B28"/>
    <w:rsid w:val="07DB0C2F"/>
    <w:rsid w:val="07E31891"/>
    <w:rsid w:val="08042ADE"/>
    <w:rsid w:val="08184391"/>
    <w:rsid w:val="08395239"/>
    <w:rsid w:val="0847354D"/>
    <w:rsid w:val="086C7E8B"/>
    <w:rsid w:val="08761A66"/>
    <w:rsid w:val="089E28F2"/>
    <w:rsid w:val="08AA0601"/>
    <w:rsid w:val="08B66FA6"/>
    <w:rsid w:val="08BC0A60"/>
    <w:rsid w:val="08C47696"/>
    <w:rsid w:val="08F5187C"/>
    <w:rsid w:val="08FE04F3"/>
    <w:rsid w:val="090F0803"/>
    <w:rsid w:val="092A6D38"/>
    <w:rsid w:val="09356DD0"/>
    <w:rsid w:val="095A6C24"/>
    <w:rsid w:val="09605857"/>
    <w:rsid w:val="0969226A"/>
    <w:rsid w:val="096A2CD8"/>
    <w:rsid w:val="096A6B28"/>
    <w:rsid w:val="0980097E"/>
    <w:rsid w:val="09834B42"/>
    <w:rsid w:val="09AB5060"/>
    <w:rsid w:val="09AD47BD"/>
    <w:rsid w:val="09B74D83"/>
    <w:rsid w:val="09B80F75"/>
    <w:rsid w:val="09B84214"/>
    <w:rsid w:val="09CD45A7"/>
    <w:rsid w:val="09FB3761"/>
    <w:rsid w:val="0A2368BD"/>
    <w:rsid w:val="0A726EFC"/>
    <w:rsid w:val="0A7A429C"/>
    <w:rsid w:val="0A872DA2"/>
    <w:rsid w:val="0A9F4195"/>
    <w:rsid w:val="0AA74DF8"/>
    <w:rsid w:val="0AA84A7A"/>
    <w:rsid w:val="0AA84C3E"/>
    <w:rsid w:val="0AFB5144"/>
    <w:rsid w:val="0B1F0E32"/>
    <w:rsid w:val="0B2508ED"/>
    <w:rsid w:val="0B261650"/>
    <w:rsid w:val="0B285B54"/>
    <w:rsid w:val="0B3E3DAB"/>
    <w:rsid w:val="0B4E5BBB"/>
    <w:rsid w:val="0B5A482A"/>
    <w:rsid w:val="0B732F2C"/>
    <w:rsid w:val="0B781888"/>
    <w:rsid w:val="0B8D2BB5"/>
    <w:rsid w:val="0B942D81"/>
    <w:rsid w:val="0BD42E46"/>
    <w:rsid w:val="0C1C7A68"/>
    <w:rsid w:val="0C2D3A23"/>
    <w:rsid w:val="0C3C77C2"/>
    <w:rsid w:val="0C730102"/>
    <w:rsid w:val="0CA84E57"/>
    <w:rsid w:val="0CBB2DDD"/>
    <w:rsid w:val="0CC270BC"/>
    <w:rsid w:val="0CCA2B0E"/>
    <w:rsid w:val="0CD37C30"/>
    <w:rsid w:val="0CE9794A"/>
    <w:rsid w:val="0CF57932"/>
    <w:rsid w:val="0D0A78C0"/>
    <w:rsid w:val="0D28120A"/>
    <w:rsid w:val="0D5B411A"/>
    <w:rsid w:val="0D766D04"/>
    <w:rsid w:val="0D775804"/>
    <w:rsid w:val="0D9C2C0E"/>
    <w:rsid w:val="0DA8545D"/>
    <w:rsid w:val="0DCA3F39"/>
    <w:rsid w:val="0DCB52A1"/>
    <w:rsid w:val="0DF90060"/>
    <w:rsid w:val="0E314BDF"/>
    <w:rsid w:val="0E3A5F83"/>
    <w:rsid w:val="0E507F17"/>
    <w:rsid w:val="0E5816C8"/>
    <w:rsid w:val="0E5A3E47"/>
    <w:rsid w:val="0EA0228A"/>
    <w:rsid w:val="0EAC2427"/>
    <w:rsid w:val="0EB208DB"/>
    <w:rsid w:val="0EF63416"/>
    <w:rsid w:val="0EFF16A6"/>
    <w:rsid w:val="0F136F00"/>
    <w:rsid w:val="0F3260E4"/>
    <w:rsid w:val="0F36499C"/>
    <w:rsid w:val="0F3C2F15"/>
    <w:rsid w:val="0F4279DD"/>
    <w:rsid w:val="0F47742A"/>
    <w:rsid w:val="0F5E5402"/>
    <w:rsid w:val="0F831C1D"/>
    <w:rsid w:val="100E68F1"/>
    <w:rsid w:val="1041184B"/>
    <w:rsid w:val="107473CD"/>
    <w:rsid w:val="109B09B2"/>
    <w:rsid w:val="10AC760C"/>
    <w:rsid w:val="10CA51CE"/>
    <w:rsid w:val="10D17EEE"/>
    <w:rsid w:val="10E00368"/>
    <w:rsid w:val="10E30B54"/>
    <w:rsid w:val="10F93ED3"/>
    <w:rsid w:val="11063C09"/>
    <w:rsid w:val="112076B2"/>
    <w:rsid w:val="11216B59"/>
    <w:rsid w:val="11282606"/>
    <w:rsid w:val="11360C84"/>
    <w:rsid w:val="113D30B6"/>
    <w:rsid w:val="11985D5C"/>
    <w:rsid w:val="11C24C0D"/>
    <w:rsid w:val="11EF034F"/>
    <w:rsid w:val="11F33019"/>
    <w:rsid w:val="120414EA"/>
    <w:rsid w:val="12154734"/>
    <w:rsid w:val="12264131"/>
    <w:rsid w:val="12767727"/>
    <w:rsid w:val="129C545E"/>
    <w:rsid w:val="12A12A75"/>
    <w:rsid w:val="12E10BE6"/>
    <w:rsid w:val="130848A2"/>
    <w:rsid w:val="130C6140"/>
    <w:rsid w:val="13144FF5"/>
    <w:rsid w:val="132F1E2E"/>
    <w:rsid w:val="13315BA7"/>
    <w:rsid w:val="13335C64"/>
    <w:rsid w:val="136164BE"/>
    <w:rsid w:val="13711350"/>
    <w:rsid w:val="137A57A0"/>
    <w:rsid w:val="138F5630"/>
    <w:rsid w:val="139113D8"/>
    <w:rsid w:val="13985C26"/>
    <w:rsid w:val="13A740BB"/>
    <w:rsid w:val="13BB7B66"/>
    <w:rsid w:val="13E67C05"/>
    <w:rsid w:val="13F54EF0"/>
    <w:rsid w:val="14757D15"/>
    <w:rsid w:val="14A02D52"/>
    <w:rsid w:val="14EF3277"/>
    <w:rsid w:val="14F56558"/>
    <w:rsid w:val="15063063"/>
    <w:rsid w:val="150A6EE8"/>
    <w:rsid w:val="150B336F"/>
    <w:rsid w:val="152139F9"/>
    <w:rsid w:val="152C66C8"/>
    <w:rsid w:val="15473D90"/>
    <w:rsid w:val="154E4FAD"/>
    <w:rsid w:val="15542020"/>
    <w:rsid w:val="15973CBB"/>
    <w:rsid w:val="159D49D2"/>
    <w:rsid w:val="15A05CE9"/>
    <w:rsid w:val="15A56E69"/>
    <w:rsid w:val="15B12FCF"/>
    <w:rsid w:val="15BE749A"/>
    <w:rsid w:val="15D23FE7"/>
    <w:rsid w:val="15D46CBD"/>
    <w:rsid w:val="15EE5FD1"/>
    <w:rsid w:val="16027CCE"/>
    <w:rsid w:val="160B0931"/>
    <w:rsid w:val="16132594"/>
    <w:rsid w:val="161A12DA"/>
    <w:rsid w:val="1633082F"/>
    <w:rsid w:val="16354F2D"/>
    <w:rsid w:val="16461969"/>
    <w:rsid w:val="165C118C"/>
    <w:rsid w:val="165F28F2"/>
    <w:rsid w:val="166167A3"/>
    <w:rsid w:val="1673508E"/>
    <w:rsid w:val="16850465"/>
    <w:rsid w:val="168E50BE"/>
    <w:rsid w:val="16A02D75"/>
    <w:rsid w:val="16AD322B"/>
    <w:rsid w:val="16B5089D"/>
    <w:rsid w:val="16BF64DE"/>
    <w:rsid w:val="16EA35BE"/>
    <w:rsid w:val="16EB493B"/>
    <w:rsid w:val="17023532"/>
    <w:rsid w:val="170A7681"/>
    <w:rsid w:val="17144FE5"/>
    <w:rsid w:val="172377DF"/>
    <w:rsid w:val="1731642A"/>
    <w:rsid w:val="17467154"/>
    <w:rsid w:val="17710040"/>
    <w:rsid w:val="17BB0135"/>
    <w:rsid w:val="17D9680D"/>
    <w:rsid w:val="17DD5557"/>
    <w:rsid w:val="17EF6030"/>
    <w:rsid w:val="17FE7121"/>
    <w:rsid w:val="180554E8"/>
    <w:rsid w:val="18143465"/>
    <w:rsid w:val="181A3643"/>
    <w:rsid w:val="181E51DE"/>
    <w:rsid w:val="182B1250"/>
    <w:rsid w:val="183C2926"/>
    <w:rsid w:val="18431794"/>
    <w:rsid w:val="18567E5D"/>
    <w:rsid w:val="186775E9"/>
    <w:rsid w:val="186E33F9"/>
    <w:rsid w:val="189041E1"/>
    <w:rsid w:val="18A1732B"/>
    <w:rsid w:val="18AB11A7"/>
    <w:rsid w:val="18FE477D"/>
    <w:rsid w:val="19365E84"/>
    <w:rsid w:val="19581AE6"/>
    <w:rsid w:val="19662322"/>
    <w:rsid w:val="196D545F"/>
    <w:rsid w:val="19742C91"/>
    <w:rsid w:val="197467ED"/>
    <w:rsid w:val="197636A5"/>
    <w:rsid w:val="199944A6"/>
    <w:rsid w:val="19A41BFA"/>
    <w:rsid w:val="19BA45D2"/>
    <w:rsid w:val="19E10B5E"/>
    <w:rsid w:val="1A1908DD"/>
    <w:rsid w:val="1A522CD0"/>
    <w:rsid w:val="1A6037FD"/>
    <w:rsid w:val="1A8B0292"/>
    <w:rsid w:val="1A91517D"/>
    <w:rsid w:val="1AA2382E"/>
    <w:rsid w:val="1AC612CA"/>
    <w:rsid w:val="1AEC506E"/>
    <w:rsid w:val="1AF44089"/>
    <w:rsid w:val="1AF75928"/>
    <w:rsid w:val="1B025445"/>
    <w:rsid w:val="1B0A7C3D"/>
    <w:rsid w:val="1B222279"/>
    <w:rsid w:val="1B283D33"/>
    <w:rsid w:val="1B300E3A"/>
    <w:rsid w:val="1B340B74"/>
    <w:rsid w:val="1B43291B"/>
    <w:rsid w:val="1B471CAE"/>
    <w:rsid w:val="1B4F6469"/>
    <w:rsid w:val="1B9D45D4"/>
    <w:rsid w:val="1BAD7AA6"/>
    <w:rsid w:val="1BBB6955"/>
    <w:rsid w:val="1C2F25E9"/>
    <w:rsid w:val="1C7D3C0B"/>
    <w:rsid w:val="1C816AA4"/>
    <w:rsid w:val="1C8E7BC6"/>
    <w:rsid w:val="1CBA77BA"/>
    <w:rsid w:val="1CBD66FD"/>
    <w:rsid w:val="1CED6FE2"/>
    <w:rsid w:val="1D0F6BB2"/>
    <w:rsid w:val="1D124EF9"/>
    <w:rsid w:val="1D24052A"/>
    <w:rsid w:val="1D484219"/>
    <w:rsid w:val="1D733D6F"/>
    <w:rsid w:val="1D7B3341"/>
    <w:rsid w:val="1D7C2114"/>
    <w:rsid w:val="1D901405"/>
    <w:rsid w:val="1D9106E3"/>
    <w:rsid w:val="1D935B26"/>
    <w:rsid w:val="1D970CFC"/>
    <w:rsid w:val="1DA11B7B"/>
    <w:rsid w:val="1DAC0C4B"/>
    <w:rsid w:val="1DAD5A2A"/>
    <w:rsid w:val="1DC87804"/>
    <w:rsid w:val="1DCB0C66"/>
    <w:rsid w:val="1DD82A7E"/>
    <w:rsid w:val="1DE2466D"/>
    <w:rsid w:val="1E345474"/>
    <w:rsid w:val="1E5135A1"/>
    <w:rsid w:val="1E7948A6"/>
    <w:rsid w:val="1E9D0ACD"/>
    <w:rsid w:val="1EA16A85"/>
    <w:rsid w:val="1EC27FFB"/>
    <w:rsid w:val="1EC73863"/>
    <w:rsid w:val="1ED34241"/>
    <w:rsid w:val="1EE461C3"/>
    <w:rsid w:val="1F022AED"/>
    <w:rsid w:val="1F1F544D"/>
    <w:rsid w:val="1F5D7D23"/>
    <w:rsid w:val="1F6044C6"/>
    <w:rsid w:val="1F610FFA"/>
    <w:rsid w:val="1F7170FE"/>
    <w:rsid w:val="1FAC1631"/>
    <w:rsid w:val="1FB33873"/>
    <w:rsid w:val="1FC658C9"/>
    <w:rsid w:val="1FCF6E73"/>
    <w:rsid w:val="1FE50445"/>
    <w:rsid w:val="1FF00B97"/>
    <w:rsid w:val="20054087"/>
    <w:rsid w:val="20151CC1"/>
    <w:rsid w:val="2039796E"/>
    <w:rsid w:val="2064229C"/>
    <w:rsid w:val="20763AC7"/>
    <w:rsid w:val="20E2249C"/>
    <w:rsid w:val="20F379B9"/>
    <w:rsid w:val="21372496"/>
    <w:rsid w:val="213B4094"/>
    <w:rsid w:val="213F3B84"/>
    <w:rsid w:val="21415B4F"/>
    <w:rsid w:val="21467EE5"/>
    <w:rsid w:val="215C5D23"/>
    <w:rsid w:val="216503A0"/>
    <w:rsid w:val="21814758"/>
    <w:rsid w:val="219F4623"/>
    <w:rsid w:val="21A437F7"/>
    <w:rsid w:val="21D17E6F"/>
    <w:rsid w:val="22140B6D"/>
    <w:rsid w:val="2268710B"/>
    <w:rsid w:val="22713004"/>
    <w:rsid w:val="22893120"/>
    <w:rsid w:val="229B08E2"/>
    <w:rsid w:val="22C942FC"/>
    <w:rsid w:val="22D7740D"/>
    <w:rsid w:val="22F0085B"/>
    <w:rsid w:val="2305495A"/>
    <w:rsid w:val="232203EE"/>
    <w:rsid w:val="23825FAA"/>
    <w:rsid w:val="2391408F"/>
    <w:rsid w:val="23924066"/>
    <w:rsid w:val="23A03EFA"/>
    <w:rsid w:val="23AF38F2"/>
    <w:rsid w:val="23C2284B"/>
    <w:rsid w:val="23C245F9"/>
    <w:rsid w:val="23D7717A"/>
    <w:rsid w:val="23E97DD8"/>
    <w:rsid w:val="240864B0"/>
    <w:rsid w:val="240933DF"/>
    <w:rsid w:val="245445BA"/>
    <w:rsid w:val="246A1DD4"/>
    <w:rsid w:val="247C76C5"/>
    <w:rsid w:val="24913F18"/>
    <w:rsid w:val="249726FD"/>
    <w:rsid w:val="24A3267C"/>
    <w:rsid w:val="24AC7783"/>
    <w:rsid w:val="24BB5C18"/>
    <w:rsid w:val="24BE3012"/>
    <w:rsid w:val="24DC37E6"/>
    <w:rsid w:val="25042DA2"/>
    <w:rsid w:val="251E0F0C"/>
    <w:rsid w:val="254259F1"/>
    <w:rsid w:val="25554146"/>
    <w:rsid w:val="255A1166"/>
    <w:rsid w:val="25645147"/>
    <w:rsid w:val="25950217"/>
    <w:rsid w:val="25A95A70"/>
    <w:rsid w:val="25BC57A4"/>
    <w:rsid w:val="25D16D75"/>
    <w:rsid w:val="25FA7D31"/>
    <w:rsid w:val="2609650F"/>
    <w:rsid w:val="26140C63"/>
    <w:rsid w:val="2617434C"/>
    <w:rsid w:val="26357304"/>
    <w:rsid w:val="265A6D6B"/>
    <w:rsid w:val="26A60202"/>
    <w:rsid w:val="26D774EF"/>
    <w:rsid w:val="26FD2AD4"/>
    <w:rsid w:val="26FF3540"/>
    <w:rsid w:val="27277950"/>
    <w:rsid w:val="272D447F"/>
    <w:rsid w:val="27610CE2"/>
    <w:rsid w:val="277C78A6"/>
    <w:rsid w:val="27981917"/>
    <w:rsid w:val="27AF1AC7"/>
    <w:rsid w:val="27D9565A"/>
    <w:rsid w:val="280A7BB2"/>
    <w:rsid w:val="284B7A6F"/>
    <w:rsid w:val="287C121A"/>
    <w:rsid w:val="28806056"/>
    <w:rsid w:val="288551E6"/>
    <w:rsid w:val="28A52416"/>
    <w:rsid w:val="28DF2B11"/>
    <w:rsid w:val="28E26D97"/>
    <w:rsid w:val="29064F88"/>
    <w:rsid w:val="290F208E"/>
    <w:rsid w:val="29355DAE"/>
    <w:rsid w:val="294E5C4F"/>
    <w:rsid w:val="2959569B"/>
    <w:rsid w:val="295959FF"/>
    <w:rsid w:val="297D5256"/>
    <w:rsid w:val="2987723E"/>
    <w:rsid w:val="2988419C"/>
    <w:rsid w:val="29BD5F8E"/>
    <w:rsid w:val="29C516C1"/>
    <w:rsid w:val="29E4308B"/>
    <w:rsid w:val="29E871A3"/>
    <w:rsid w:val="29EA606A"/>
    <w:rsid w:val="2A113549"/>
    <w:rsid w:val="2A157B78"/>
    <w:rsid w:val="2A3049B2"/>
    <w:rsid w:val="2A3F7F06"/>
    <w:rsid w:val="2A482AAB"/>
    <w:rsid w:val="2A781EB5"/>
    <w:rsid w:val="2A852A2B"/>
    <w:rsid w:val="2A8D25C0"/>
    <w:rsid w:val="2A97058D"/>
    <w:rsid w:val="2A9A62D0"/>
    <w:rsid w:val="2ABC77DE"/>
    <w:rsid w:val="2AC87647"/>
    <w:rsid w:val="2AFD78B1"/>
    <w:rsid w:val="2B153A8E"/>
    <w:rsid w:val="2B1F1F97"/>
    <w:rsid w:val="2B1F3E2A"/>
    <w:rsid w:val="2B2112CD"/>
    <w:rsid w:val="2B3C6C8B"/>
    <w:rsid w:val="2B797C93"/>
    <w:rsid w:val="2BAF2C8A"/>
    <w:rsid w:val="2BB316D1"/>
    <w:rsid w:val="2BEC66B7"/>
    <w:rsid w:val="2BED377F"/>
    <w:rsid w:val="2BEF7F55"/>
    <w:rsid w:val="2C273B93"/>
    <w:rsid w:val="2C351E0C"/>
    <w:rsid w:val="2C493B09"/>
    <w:rsid w:val="2C4A457A"/>
    <w:rsid w:val="2C4B06FB"/>
    <w:rsid w:val="2C581F9E"/>
    <w:rsid w:val="2C622643"/>
    <w:rsid w:val="2C815051"/>
    <w:rsid w:val="2C953C10"/>
    <w:rsid w:val="2C9F0FD0"/>
    <w:rsid w:val="2CA635FA"/>
    <w:rsid w:val="2CAE7512"/>
    <w:rsid w:val="2CB847EB"/>
    <w:rsid w:val="2CEE3A70"/>
    <w:rsid w:val="2CF06945"/>
    <w:rsid w:val="2D360531"/>
    <w:rsid w:val="2D376058"/>
    <w:rsid w:val="2D3B1008"/>
    <w:rsid w:val="2D3C541C"/>
    <w:rsid w:val="2D426ED6"/>
    <w:rsid w:val="2D6329A9"/>
    <w:rsid w:val="2D6D7CCB"/>
    <w:rsid w:val="2D791CB6"/>
    <w:rsid w:val="2D7B4196"/>
    <w:rsid w:val="2D7D7F0E"/>
    <w:rsid w:val="2D8C1F00"/>
    <w:rsid w:val="2DA07C21"/>
    <w:rsid w:val="2DD23210"/>
    <w:rsid w:val="2DF16BA1"/>
    <w:rsid w:val="2DF83A39"/>
    <w:rsid w:val="2E202043"/>
    <w:rsid w:val="2E2C09BB"/>
    <w:rsid w:val="2E4C168F"/>
    <w:rsid w:val="2E61338C"/>
    <w:rsid w:val="2E694E64"/>
    <w:rsid w:val="2E70537D"/>
    <w:rsid w:val="2EAA6C13"/>
    <w:rsid w:val="2ECB2EFB"/>
    <w:rsid w:val="2ED753FC"/>
    <w:rsid w:val="2EE10029"/>
    <w:rsid w:val="2F177EEF"/>
    <w:rsid w:val="2F4970F3"/>
    <w:rsid w:val="2F5E5B1E"/>
    <w:rsid w:val="2F685217"/>
    <w:rsid w:val="2F9439F3"/>
    <w:rsid w:val="2FA66F49"/>
    <w:rsid w:val="2FB13E9F"/>
    <w:rsid w:val="2FC42C8C"/>
    <w:rsid w:val="2FC736C3"/>
    <w:rsid w:val="2FEE49A9"/>
    <w:rsid w:val="2FF042A6"/>
    <w:rsid w:val="300E11D4"/>
    <w:rsid w:val="301D5161"/>
    <w:rsid w:val="30394661"/>
    <w:rsid w:val="30497D71"/>
    <w:rsid w:val="306B6744"/>
    <w:rsid w:val="306C6018"/>
    <w:rsid w:val="30891EDC"/>
    <w:rsid w:val="30BB2AFC"/>
    <w:rsid w:val="30F6205C"/>
    <w:rsid w:val="30FA3624"/>
    <w:rsid w:val="31093867"/>
    <w:rsid w:val="312F7772"/>
    <w:rsid w:val="313C7983"/>
    <w:rsid w:val="315F0252"/>
    <w:rsid w:val="31613472"/>
    <w:rsid w:val="31701B38"/>
    <w:rsid w:val="31705BD8"/>
    <w:rsid w:val="31D63E80"/>
    <w:rsid w:val="31E87583"/>
    <w:rsid w:val="31F664D7"/>
    <w:rsid w:val="32560D2E"/>
    <w:rsid w:val="325F4087"/>
    <w:rsid w:val="32753AC7"/>
    <w:rsid w:val="32904240"/>
    <w:rsid w:val="32A61AD2"/>
    <w:rsid w:val="32AB763E"/>
    <w:rsid w:val="32B16EDD"/>
    <w:rsid w:val="32B83797"/>
    <w:rsid w:val="32C043F9"/>
    <w:rsid w:val="33095DA0"/>
    <w:rsid w:val="334212B2"/>
    <w:rsid w:val="335607AB"/>
    <w:rsid w:val="337326B7"/>
    <w:rsid w:val="33937BF2"/>
    <w:rsid w:val="33B066F4"/>
    <w:rsid w:val="33CD5020"/>
    <w:rsid w:val="33E42C4A"/>
    <w:rsid w:val="34265341"/>
    <w:rsid w:val="348B0CDA"/>
    <w:rsid w:val="34963664"/>
    <w:rsid w:val="34AB164B"/>
    <w:rsid w:val="34AF2977"/>
    <w:rsid w:val="34BC75F3"/>
    <w:rsid w:val="34E268A9"/>
    <w:rsid w:val="34E26A4C"/>
    <w:rsid w:val="35083EDC"/>
    <w:rsid w:val="35092088"/>
    <w:rsid w:val="352C3FC8"/>
    <w:rsid w:val="35373964"/>
    <w:rsid w:val="355D5EB4"/>
    <w:rsid w:val="35690D78"/>
    <w:rsid w:val="35700359"/>
    <w:rsid w:val="357072EB"/>
    <w:rsid w:val="357A11D7"/>
    <w:rsid w:val="35AA386B"/>
    <w:rsid w:val="35CB37E1"/>
    <w:rsid w:val="35CE1254"/>
    <w:rsid w:val="3612023A"/>
    <w:rsid w:val="36462E68"/>
    <w:rsid w:val="364A2958"/>
    <w:rsid w:val="367F5B34"/>
    <w:rsid w:val="368E4D24"/>
    <w:rsid w:val="369B37DD"/>
    <w:rsid w:val="36A4475E"/>
    <w:rsid w:val="36D91818"/>
    <w:rsid w:val="370011C3"/>
    <w:rsid w:val="37015BC4"/>
    <w:rsid w:val="37184006"/>
    <w:rsid w:val="372431A9"/>
    <w:rsid w:val="37521A1A"/>
    <w:rsid w:val="375F68D7"/>
    <w:rsid w:val="37620175"/>
    <w:rsid w:val="376D0482"/>
    <w:rsid w:val="37701F77"/>
    <w:rsid w:val="379E73FF"/>
    <w:rsid w:val="37A10160"/>
    <w:rsid w:val="37A20350"/>
    <w:rsid w:val="37A32991"/>
    <w:rsid w:val="37C22062"/>
    <w:rsid w:val="37F556C0"/>
    <w:rsid w:val="380D7719"/>
    <w:rsid w:val="382237B4"/>
    <w:rsid w:val="38241EDF"/>
    <w:rsid w:val="383813C8"/>
    <w:rsid w:val="38503AF0"/>
    <w:rsid w:val="3876134F"/>
    <w:rsid w:val="38887767"/>
    <w:rsid w:val="38984F4D"/>
    <w:rsid w:val="389C7518"/>
    <w:rsid w:val="38A026A3"/>
    <w:rsid w:val="38E075A3"/>
    <w:rsid w:val="38E2331B"/>
    <w:rsid w:val="39096AFA"/>
    <w:rsid w:val="391F27A6"/>
    <w:rsid w:val="396E1804"/>
    <w:rsid w:val="39730417"/>
    <w:rsid w:val="3995038E"/>
    <w:rsid w:val="39A4356C"/>
    <w:rsid w:val="39DC3C4B"/>
    <w:rsid w:val="39DF7D7B"/>
    <w:rsid w:val="3A4D4307"/>
    <w:rsid w:val="3A577D39"/>
    <w:rsid w:val="3A887EF3"/>
    <w:rsid w:val="3A996B70"/>
    <w:rsid w:val="3AA7481D"/>
    <w:rsid w:val="3AAE7908"/>
    <w:rsid w:val="3ADC7FD1"/>
    <w:rsid w:val="3AE46108"/>
    <w:rsid w:val="3AF4696E"/>
    <w:rsid w:val="3AF630AE"/>
    <w:rsid w:val="3B0A2211"/>
    <w:rsid w:val="3B2C4D22"/>
    <w:rsid w:val="3B2F65C0"/>
    <w:rsid w:val="3B585B17"/>
    <w:rsid w:val="3B731CC6"/>
    <w:rsid w:val="3B8561E0"/>
    <w:rsid w:val="3B8E1539"/>
    <w:rsid w:val="3C084F1F"/>
    <w:rsid w:val="3C241D85"/>
    <w:rsid w:val="3C4D3736"/>
    <w:rsid w:val="3C500906"/>
    <w:rsid w:val="3C675B70"/>
    <w:rsid w:val="3CFE4647"/>
    <w:rsid w:val="3D51281E"/>
    <w:rsid w:val="3D5C4FEC"/>
    <w:rsid w:val="3D73350D"/>
    <w:rsid w:val="3D736C38"/>
    <w:rsid w:val="3D915310"/>
    <w:rsid w:val="3DE76BD5"/>
    <w:rsid w:val="3DEA6C6F"/>
    <w:rsid w:val="3E0E4BB3"/>
    <w:rsid w:val="3E34472A"/>
    <w:rsid w:val="3E35607B"/>
    <w:rsid w:val="3E391C30"/>
    <w:rsid w:val="3E7A5293"/>
    <w:rsid w:val="3E820042"/>
    <w:rsid w:val="3E895FE7"/>
    <w:rsid w:val="3E953E77"/>
    <w:rsid w:val="3EC6723B"/>
    <w:rsid w:val="3EE651E8"/>
    <w:rsid w:val="3F170939"/>
    <w:rsid w:val="3F5208A2"/>
    <w:rsid w:val="3F54050A"/>
    <w:rsid w:val="3F5C6052"/>
    <w:rsid w:val="3F5D7BA0"/>
    <w:rsid w:val="3FC27A03"/>
    <w:rsid w:val="40020998"/>
    <w:rsid w:val="401C0BF3"/>
    <w:rsid w:val="40302E3E"/>
    <w:rsid w:val="403159A6"/>
    <w:rsid w:val="4043667C"/>
    <w:rsid w:val="404448BC"/>
    <w:rsid w:val="40471F45"/>
    <w:rsid w:val="405A1FD9"/>
    <w:rsid w:val="40C94DC1"/>
    <w:rsid w:val="40E10405"/>
    <w:rsid w:val="40F672AA"/>
    <w:rsid w:val="41092F48"/>
    <w:rsid w:val="411A559F"/>
    <w:rsid w:val="413810FE"/>
    <w:rsid w:val="41477009"/>
    <w:rsid w:val="4153125A"/>
    <w:rsid w:val="415D3B8B"/>
    <w:rsid w:val="416D04D4"/>
    <w:rsid w:val="41716AD2"/>
    <w:rsid w:val="417F44DF"/>
    <w:rsid w:val="41856F3A"/>
    <w:rsid w:val="418E2292"/>
    <w:rsid w:val="41A2106C"/>
    <w:rsid w:val="41C2091E"/>
    <w:rsid w:val="41CC65E4"/>
    <w:rsid w:val="41E164DD"/>
    <w:rsid w:val="420201AB"/>
    <w:rsid w:val="4208634A"/>
    <w:rsid w:val="421B789E"/>
    <w:rsid w:val="422B35DF"/>
    <w:rsid w:val="42372D35"/>
    <w:rsid w:val="423D7815"/>
    <w:rsid w:val="424E5A72"/>
    <w:rsid w:val="426D00B6"/>
    <w:rsid w:val="427F7E2D"/>
    <w:rsid w:val="428C42F8"/>
    <w:rsid w:val="42DC7504"/>
    <w:rsid w:val="43394480"/>
    <w:rsid w:val="436514AD"/>
    <w:rsid w:val="43671800"/>
    <w:rsid w:val="436E26EF"/>
    <w:rsid w:val="436F1A16"/>
    <w:rsid w:val="437D4F3E"/>
    <w:rsid w:val="43AD2778"/>
    <w:rsid w:val="43C15685"/>
    <w:rsid w:val="44266637"/>
    <w:rsid w:val="442C305C"/>
    <w:rsid w:val="443F1622"/>
    <w:rsid w:val="444529B0"/>
    <w:rsid w:val="44473E0C"/>
    <w:rsid w:val="4456696C"/>
    <w:rsid w:val="44845B8F"/>
    <w:rsid w:val="45193CEE"/>
    <w:rsid w:val="45216F7A"/>
    <w:rsid w:val="456F3431"/>
    <w:rsid w:val="45801B6B"/>
    <w:rsid w:val="45825805"/>
    <w:rsid w:val="45863281"/>
    <w:rsid w:val="459738AC"/>
    <w:rsid w:val="459D73E9"/>
    <w:rsid w:val="45A954BD"/>
    <w:rsid w:val="45B95AA0"/>
    <w:rsid w:val="45C06DDA"/>
    <w:rsid w:val="46097D35"/>
    <w:rsid w:val="460D7E82"/>
    <w:rsid w:val="469622BE"/>
    <w:rsid w:val="46963997"/>
    <w:rsid w:val="46A553A5"/>
    <w:rsid w:val="46A66E1A"/>
    <w:rsid w:val="46C26758"/>
    <w:rsid w:val="46C6427C"/>
    <w:rsid w:val="46DD1C51"/>
    <w:rsid w:val="46F106CB"/>
    <w:rsid w:val="470D67D5"/>
    <w:rsid w:val="47152B0E"/>
    <w:rsid w:val="4716503A"/>
    <w:rsid w:val="475351EA"/>
    <w:rsid w:val="47855EE6"/>
    <w:rsid w:val="4795328D"/>
    <w:rsid w:val="47C06F1E"/>
    <w:rsid w:val="47CD49CE"/>
    <w:rsid w:val="47E40CEC"/>
    <w:rsid w:val="47EA3F9B"/>
    <w:rsid w:val="47F250C5"/>
    <w:rsid w:val="4807456B"/>
    <w:rsid w:val="4809772E"/>
    <w:rsid w:val="481B23A6"/>
    <w:rsid w:val="484D0086"/>
    <w:rsid w:val="485458B8"/>
    <w:rsid w:val="48684DC2"/>
    <w:rsid w:val="48C77E38"/>
    <w:rsid w:val="48C91E02"/>
    <w:rsid w:val="48D42E52"/>
    <w:rsid w:val="48E5391A"/>
    <w:rsid w:val="48E7672C"/>
    <w:rsid w:val="48EA03FC"/>
    <w:rsid w:val="49060960"/>
    <w:rsid w:val="49336A3E"/>
    <w:rsid w:val="49341853"/>
    <w:rsid w:val="49374EF6"/>
    <w:rsid w:val="493F3E72"/>
    <w:rsid w:val="494D6A3D"/>
    <w:rsid w:val="495F199D"/>
    <w:rsid w:val="49697141"/>
    <w:rsid w:val="49794CAD"/>
    <w:rsid w:val="4981092F"/>
    <w:rsid w:val="499C3073"/>
    <w:rsid w:val="49AB4C93"/>
    <w:rsid w:val="49E862B8"/>
    <w:rsid w:val="49EC224C"/>
    <w:rsid w:val="49F859D9"/>
    <w:rsid w:val="4A471230"/>
    <w:rsid w:val="4A5660E6"/>
    <w:rsid w:val="4A8F4985"/>
    <w:rsid w:val="4A95657B"/>
    <w:rsid w:val="4AE40A38"/>
    <w:rsid w:val="4B6B57A1"/>
    <w:rsid w:val="4B723169"/>
    <w:rsid w:val="4B7F0E9E"/>
    <w:rsid w:val="4B810772"/>
    <w:rsid w:val="4B817735"/>
    <w:rsid w:val="4B887D52"/>
    <w:rsid w:val="4BB16B1F"/>
    <w:rsid w:val="4BB5041C"/>
    <w:rsid w:val="4BE713A6"/>
    <w:rsid w:val="4BEF7DD1"/>
    <w:rsid w:val="4BF748ED"/>
    <w:rsid w:val="4C033F52"/>
    <w:rsid w:val="4C081354"/>
    <w:rsid w:val="4C176DA8"/>
    <w:rsid w:val="4C1D6268"/>
    <w:rsid w:val="4C1E6508"/>
    <w:rsid w:val="4C4D2D4A"/>
    <w:rsid w:val="4C4D7146"/>
    <w:rsid w:val="4C5E0F6B"/>
    <w:rsid w:val="4C90449D"/>
    <w:rsid w:val="4C905754"/>
    <w:rsid w:val="4C9901D6"/>
    <w:rsid w:val="4CBA03DF"/>
    <w:rsid w:val="4CD46FC7"/>
    <w:rsid w:val="4CF60CEC"/>
    <w:rsid w:val="4D0B652E"/>
    <w:rsid w:val="4D193ECD"/>
    <w:rsid w:val="4D3B7E90"/>
    <w:rsid w:val="4D64189A"/>
    <w:rsid w:val="4D994499"/>
    <w:rsid w:val="4DA50798"/>
    <w:rsid w:val="4DE44FE8"/>
    <w:rsid w:val="4DEE1F0F"/>
    <w:rsid w:val="4DF6427A"/>
    <w:rsid w:val="4E177BCF"/>
    <w:rsid w:val="4E194ABA"/>
    <w:rsid w:val="4E487C6D"/>
    <w:rsid w:val="4E550D53"/>
    <w:rsid w:val="4E561EDE"/>
    <w:rsid w:val="4E5A52AA"/>
    <w:rsid w:val="4E6A15BD"/>
    <w:rsid w:val="4E724CEA"/>
    <w:rsid w:val="4E7B76FB"/>
    <w:rsid w:val="4E8B2815"/>
    <w:rsid w:val="4EAD7AD0"/>
    <w:rsid w:val="4EC2357B"/>
    <w:rsid w:val="4ED67156"/>
    <w:rsid w:val="4F0A1D3A"/>
    <w:rsid w:val="4F3B1644"/>
    <w:rsid w:val="4F411689"/>
    <w:rsid w:val="4F481724"/>
    <w:rsid w:val="4F50502B"/>
    <w:rsid w:val="4F5D32A4"/>
    <w:rsid w:val="4F814CFF"/>
    <w:rsid w:val="4F964D9C"/>
    <w:rsid w:val="4FEB4C83"/>
    <w:rsid w:val="50011E81"/>
    <w:rsid w:val="50164D0E"/>
    <w:rsid w:val="501E6696"/>
    <w:rsid w:val="50345775"/>
    <w:rsid w:val="50614730"/>
    <w:rsid w:val="5076286F"/>
    <w:rsid w:val="50787340"/>
    <w:rsid w:val="50795EBC"/>
    <w:rsid w:val="50845121"/>
    <w:rsid w:val="508A1E77"/>
    <w:rsid w:val="509201D9"/>
    <w:rsid w:val="509E3B74"/>
    <w:rsid w:val="50A34E49"/>
    <w:rsid w:val="50F037D7"/>
    <w:rsid w:val="51183927"/>
    <w:rsid w:val="512C07A6"/>
    <w:rsid w:val="514278A6"/>
    <w:rsid w:val="5181771E"/>
    <w:rsid w:val="518A5EA7"/>
    <w:rsid w:val="518F170F"/>
    <w:rsid w:val="5197760A"/>
    <w:rsid w:val="51B27751"/>
    <w:rsid w:val="51BB5923"/>
    <w:rsid w:val="51C413B8"/>
    <w:rsid w:val="51C92E73"/>
    <w:rsid w:val="520D0FB1"/>
    <w:rsid w:val="52316E05"/>
    <w:rsid w:val="524B0E5E"/>
    <w:rsid w:val="528949E9"/>
    <w:rsid w:val="52A64F62"/>
    <w:rsid w:val="52C1479A"/>
    <w:rsid w:val="52D90B4C"/>
    <w:rsid w:val="52E65221"/>
    <w:rsid w:val="532540D9"/>
    <w:rsid w:val="53362768"/>
    <w:rsid w:val="535247CA"/>
    <w:rsid w:val="5371731E"/>
    <w:rsid w:val="53896CD2"/>
    <w:rsid w:val="53B06098"/>
    <w:rsid w:val="53BF62DB"/>
    <w:rsid w:val="53E42B9F"/>
    <w:rsid w:val="547C5F7A"/>
    <w:rsid w:val="54952F6F"/>
    <w:rsid w:val="54CE2ADD"/>
    <w:rsid w:val="54D252B7"/>
    <w:rsid w:val="54F71AAA"/>
    <w:rsid w:val="55191A1B"/>
    <w:rsid w:val="551D7D50"/>
    <w:rsid w:val="5538784C"/>
    <w:rsid w:val="554E48CB"/>
    <w:rsid w:val="554E6F68"/>
    <w:rsid w:val="555E1B24"/>
    <w:rsid w:val="556E4B02"/>
    <w:rsid w:val="556F788D"/>
    <w:rsid w:val="557632C5"/>
    <w:rsid w:val="55805F3E"/>
    <w:rsid w:val="55A41882"/>
    <w:rsid w:val="55AF0A0E"/>
    <w:rsid w:val="55B41E33"/>
    <w:rsid w:val="55BA745B"/>
    <w:rsid w:val="5610582D"/>
    <w:rsid w:val="56135CFB"/>
    <w:rsid w:val="56153315"/>
    <w:rsid w:val="563665FD"/>
    <w:rsid w:val="564D4072"/>
    <w:rsid w:val="56560104"/>
    <w:rsid w:val="56644F18"/>
    <w:rsid w:val="567333AD"/>
    <w:rsid w:val="568E01E7"/>
    <w:rsid w:val="56AC7D71"/>
    <w:rsid w:val="56F93D18"/>
    <w:rsid w:val="570565C9"/>
    <w:rsid w:val="570606C5"/>
    <w:rsid w:val="57081D47"/>
    <w:rsid w:val="57345AA9"/>
    <w:rsid w:val="57414C98"/>
    <w:rsid w:val="575E3C09"/>
    <w:rsid w:val="57605E09"/>
    <w:rsid w:val="57714B4C"/>
    <w:rsid w:val="577E025B"/>
    <w:rsid w:val="578C0BCA"/>
    <w:rsid w:val="578C2978"/>
    <w:rsid w:val="57AB1879"/>
    <w:rsid w:val="57D61E46"/>
    <w:rsid w:val="57EF3EA0"/>
    <w:rsid w:val="57F66044"/>
    <w:rsid w:val="58164938"/>
    <w:rsid w:val="584B73FD"/>
    <w:rsid w:val="58694A68"/>
    <w:rsid w:val="587A4EC7"/>
    <w:rsid w:val="587E2954"/>
    <w:rsid w:val="58994799"/>
    <w:rsid w:val="58A11513"/>
    <w:rsid w:val="58A61818"/>
    <w:rsid w:val="58A81A34"/>
    <w:rsid w:val="58AC7F91"/>
    <w:rsid w:val="58D17AEF"/>
    <w:rsid w:val="58D5034F"/>
    <w:rsid w:val="58E14F46"/>
    <w:rsid w:val="58E36471"/>
    <w:rsid w:val="58F1012E"/>
    <w:rsid w:val="593534E5"/>
    <w:rsid w:val="593540AA"/>
    <w:rsid w:val="593B28A8"/>
    <w:rsid w:val="593E407B"/>
    <w:rsid w:val="595239AF"/>
    <w:rsid w:val="59620491"/>
    <w:rsid w:val="59AC5554"/>
    <w:rsid w:val="59AD0D3B"/>
    <w:rsid w:val="59D602B3"/>
    <w:rsid w:val="59E22695"/>
    <w:rsid w:val="5A0B45F5"/>
    <w:rsid w:val="5A1D3D5C"/>
    <w:rsid w:val="5A28406B"/>
    <w:rsid w:val="5A454E5D"/>
    <w:rsid w:val="5A4B7F8B"/>
    <w:rsid w:val="5A8E6A07"/>
    <w:rsid w:val="5AA601F5"/>
    <w:rsid w:val="5AC62645"/>
    <w:rsid w:val="5AE91B90"/>
    <w:rsid w:val="5AEB56EE"/>
    <w:rsid w:val="5B127629"/>
    <w:rsid w:val="5B270145"/>
    <w:rsid w:val="5B7C71A8"/>
    <w:rsid w:val="5BA52719"/>
    <w:rsid w:val="5BA76ED9"/>
    <w:rsid w:val="5BCB46CA"/>
    <w:rsid w:val="5BE52178"/>
    <w:rsid w:val="5BF26FDC"/>
    <w:rsid w:val="5BF32B3E"/>
    <w:rsid w:val="5C001B87"/>
    <w:rsid w:val="5C164F06"/>
    <w:rsid w:val="5C272C70"/>
    <w:rsid w:val="5C292E8C"/>
    <w:rsid w:val="5C3D06E5"/>
    <w:rsid w:val="5C602626"/>
    <w:rsid w:val="5C995507"/>
    <w:rsid w:val="5C9C3B34"/>
    <w:rsid w:val="5CCC3817"/>
    <w:rsid w:val="5CD53227"/>
    <w:rsid w:val="5CD647C9"/>
    <w:rsid w:val="5CE80740"/>
    <w:rsid w:val="5D1D4073"/>
    <w:rsid w:val="5D2F2D9D"/>
    <w:rsid w:val="5D333896"/>
    <w:rsid w:val="5D6D6389"/>
    <w:rsid w:val="5D79399F"/>
    <w:rsid w:val="5DAA4B7F"/>
    <w:rsid w:val="5DAF73C1"/>
    <w:rsid w:val="5DB6074F"/>
    <w:rsid w:val="5DCB0D4A"/>
    <w:rsid w:val="5DED1C97"/>
    <w:rsid w:val="5DF06F7F"/>
    <w:rsid w:val="5DFC012C"/>
    <w:rsid w:val="5DFD0F78"/>
    <w:rsid w:val="5E3E0947"/>
    <w:rsid w:val="5E455878"/>
    <w:rsid w:val="5E8E535C"/>
    <w:rsid w:val="5E9254F4"/>
    <w:rsid w:val="5EAF6E28"/>
    <w:rsid w:val="5EC23124"/>
    <w:rsid w:val="5EE017FC"/>
    <w:rsid w:val="5EF23A4F"/>
    <w:rsid w:val="5EF808F3"/>
    <w:rsid w:val="5EF97152"/>
    <w:rsid w:val="5F176B60"/>
    <w:rsid w:val="5F1D6DFA"/>
    <w:rsid w:val="5F3C1A96"/>
    <w:rsid w:val="5F546472"/>
    <w:rsid w:val="5FA929E5"/>
    <w:rsid w:val="5FB05672"/>
    <w:rsid w:val="5FB51005"/>
    <w:rsid w:val="5FCE7C70"/>
    <w:rsid w:val="5FD90725"/>
    <w:rsid w:val="5FFC2665"/>
    <w:rsid w:val="604F6C39"/>
    <w:rsid w:val="60791F08"/>
    <w:rsid w:val="60980263"/>
    <w:rsid w:val="60B254BD"/>
    <w:rsid w:val="60B96340"/>
    <w:rsid w:val="60B975CA"/>
    <w:rsid w:val="60CE4002"/>
    <w:rsid w:val="60DF4C2D"/>
    <w:rsid w:val="60E3510A"/>
    <w:rsid w:val="60EC6323"/>
    <w:rsid w:val="60F0058B"/>
    <w:rsid w:val="60FE1FBC"/>
    <w:rsid w:val="611166BA"/>
    <w:rsid w:val="612C75E0"/>
    <w:rsid w:val="613C576B"/>
    <w:rsid w:val="6178448A"/>
    <w:rsid w:val="619D1355"/>
    <w:rsid w:val="61B1017A"/>
    <w:rsid w:val="61B76A20"/>
    <w:rsid w:val="61C71F5B"/>
    <w:rsid w:val="61CA5FBE"/>
    <w:rsid w:val="61DC2869"/>
    <w:rsid w:val="61EE2C57"/>
    <w:rsid w:val="61F937BA"/>
    <w:rsid w:val="62061579"/>
    <w:rsid w:val="621A6FE4"/>
    <w:rsid w:val="62222F3A"/>
    <w:rsid w:val="623136E9"/>
    <w:rsid w:val="62367486"/>
    <w:rsid w:val="62481281"/>
    <w:rsid w:val="625247BE"/>
    <w:rsid w:val="62562CF8"/>
    <w:rsid w:val="62644F32"/>
    <w:rsid w:val="628C2F1F"/>
    <w:rsid w:val="6299063F"/>
    <w:rsid w:val="62B02C51"/>
    <w:rsid w:val="62BD6F33"/>
    <w:rsid w:val="62C21944"/>
    <w:rsid w:val="62CC15A8"/>
    <w:rsid w:val="62E33669"/>
    <w:rsid w:val="62E418BB"/>
    <w:rsid w:val="62F615EE"/>
    <w:rsid w:val="62F75CFE"/>
    <w:rsid w:val="63044427"/>
    <w:rsid w:val="631C5F18"/>
    <w:rsid w:val="632A1297"/>
    <w:rsid w:val="634B7B8C"/>
    <w:rsid w:val="63996408"/>
    <w:rsid w:val="63DC427F"/>
    <w:rsid w:val="63F3335D"/>
    <w:rsid w:val="64426F7B"/>
    <w:rsid w:val="644C3BBB"/>
    <w:rsid w:val="644F681B"/>
    <w:rsid w:val="6454481E"/>
    <w:rsid w:val="645962D8"/>
    <w:rsid w:val="646D3B32"/>
    <w:rsid w:val="649E018F"/>
    <w:rsid w:val="64A15589"/>
    <w:rsid w:val="64A532CB"/>
    <w:rsid w:val="64E77440"/>
    <w:rsid w:val="64FF0BBB"/>
    <w:rsid w:val="65576E41"/>
    <w:rsid w:val="655B2DD2"/>
    <w:rsid w:val="65621731"/>
    <w:rsid w:val="656973BF"/>
    <w:rsid w:val="658E5B0E"/>
    <w:rsid w:val="659529C0"/>
    <w:rsid w:val="65B672AF"/>
    <w:rsid w:val="65BC2708"/>
    <w:rsid w:val="65C23A09"/>
    <w:rsid w:val="65C57BBA"/>
    <w:rsid w:val="66091638"/>
    <w:rsid w:val="6613527D"/>
    <w:rsid w:val="66427B15"/>
    <w:rsid w:val="66467ED6"/>
    <w:rsid w:val="66530638"/>
    <w:rsid w:val="6659436D"/>
    <w:rsid w:val="666B22F3"/>
    <w:rsid w:val="666F3B91"/>
    <w:rsid w:val="66761E42"/>
    <w:rsid w:val="669332A1"/>
    <w:rsid w:val="66E73829"/>
    <w:rsid w:val="671D731C"/>
    <w:rsid w:val="6729387D"/>
    <w:rsid w:val="67394E41"/>
    <w:rsid w:val="674D7575"/>
    <w:rsid w:val="674E12D3"/>
    <w:rsid w:val="67611B8A"/>
    <w:rsid w:val="679572FD"/>
    <w:rsid w:val="67A55390"/>
    <w:rsid w:val="67B83316"/>
    <w:rsid w:val="67C7218E"/>
    <w:rsid w:val="67D363A2"/>
    <w:rsid w:val="67E61C31"/>
    <w:rsid w:val="67E67E83"/>
    <w:rsid w:val="6809591F"/>
    <w:rsid w:val="6817016F"/>
    <w:rsid w:val="681A5D7E"/>
    <w:rsid w:val="68210EBB"/>
    <w:rsid w:val="684908E0"/>
    <w:rsid w:val="685B2A1A"/>
    <w:rsid w:val="68735D22"/>
    <w:rsid w:val="68806246"/>
    <w:rsid w:val="68BF0AC0"/>
    <w:rsid w:val="68CF3983"/>
    <w:rsid w:val="68D21F68"/>
    <w:rsid w:val="68D73C6F"/>
    <w:rsid w:val="68EA7DB9"/>
    <w:rsid w:val="690016AE"/>
    <w:rsid w:val="6910579F"/>
    <w:rsid w:val="691427CE"/>
    <w:rsid w:val="69684CE4"/>
    <w:rsid w:val="69747710"/>
    <w:rsid w:val="69AF609C"/>
    <w:rsid w:val="69AF73C2"/>
    <w:rsid w:val="69DF102E"/>
    <w:rsid w:val="69EE7E1F"/>
    <w:rsid w:val="69F525FF"/>
    <w:rsid w:val="6A040A94"/>
    <w:rsid w:val="6AA6228A"/>
    <w:rsid w:val="6AC20485"/>
    <w:rsid w:val="6AC41FD2"/>
    <w:rsid w:val="6B0359FB"/>
    <w:rsid w:val="6B1940CB"/>
    <w:rsid w:val="6B1B3445"/>
    <w:rsid w:val="6B4136D3"/>
    <w:rsid w:val="6B421874"/>
    <w:rsid w:val="6B5B46E4"/>
    <w:rsid w:val="6B8612AF"/>
    <w:rsid w:val="6B8D6867"/>
    <w:rsid w:val="6BC0180B"/>
    <w:rsid w:val="6BCB0E92"/>
    <w:rsid w:val="6BD85D34"/>
    <w:rsid w:val="6BE96194"/>
    <w:rsid w:val="6C1665F5"/>
    <w:rsid w:val="6C2148D1"/>
    <w:rsid w:val="6C711CE5"/>
    <w:rsid w:val="6C8B0670"/>
    <w:rsid w:val="6C8B724B"/>
    <w:rsid w:val="6CC102E1"/>
    <w:rsid w:val="6CEF5669"/>
    <w:rsid w:val="6CF576B4"/>
    <w:rsid w:val="6CFA617E"/>
    <w:rsid w:val="6D1836F4"/>
    <w:rsid w:val="6D3E42BD"/>
    <w:rsid w:val="6D3E606B"/>
    <w:rsid w:val="6D412A49"/>
    <w:rsid w:val="6E135B3A"/>
    <w:rsid w:val="6E1C5484"/>
    <w:rsid w:val="6E5E554C"/>
    <w:rsid w:val="6E683DEA"/>
    <w:rsid w:val="6EB4346B"/>
    <w:rsid w:val="6EBD3289"/>
    <w:rsid w:val="6EEF1D13"/>
    <w:rsid w:val="6EF235B1"/>
    <w:rsid w:val="6EFD3D5B"/>
    <w:rsid w:val="6F2030BB"/>
    <w:rsid w:val="6F483AAF"/>
    <w:rsid w:val="6F5E6A28"/>
    <w:rsid w:val="6F6B2C1E"/>
    <w:rsid w:val="6F9B0B59"/>
    <w:rsid w:val="6FDD600F"/>
    <w:rsid w:val="6FEA072C"/>
    <w:rsid w:val="702A49D4"/>
    <w:rsid w:val="705629B4"/>
    <w:rsid w:val="706527C1"/>
    <w:rsid w:val="70A5231A"/>
    <w:rsid w:val="70DF36C1"/>
    <w:rsid w:val="70E07551"/>
    <w:rsid w:val="70EE2737"/>
    <w:rsid w:val="70FD53E8"/>
    <w:rsid w:val="7111567C"/>
    <w:rsid w:val="71264385"/>
    <w:rsid w:val="71463740"/>
    <w:rsid w:val="71687FC3"/>
    <w:rsid w:val="71777D9E"/>
    <w:rsid w:val="718465E5"/>
    <w:rsid w:val="719C15B2"/>
    <w:rsid w:val="71BC7EA6"/>
    <w:rsid w:val="71DD22F7"/>
    <w:rsid w:val="71E80C9B"/>
    <w:rsid w:val="71FE28AC"/>
    <w:rsid w:val="72046F67"/>
    <w:rsid w:val="72414F83"/>
    <w:rsid w:val="727B566C"/>
    <w:rsid w:val="72832C98"/>
    <w:rsid w:val="72A34D66"/>
    <w:rsid w:val="72D52FCE"/>
    <w:rsid w:val="72F21DD2"/>
    <w:rsid w:val="72F9705E"/>
    <w:rsid w:val="72FC49FE"/>
    <w:rsid w:val="731358A4"/>
    <w:rsid w:val="731612DA"/>
    <w:rsid w:val="731C6E4F"/>
    <w:rsid w:val="73216213"/>
    <w:rsid w:val="73277A70"/>
    <w:rsid w:val="733675B0"/>
    <w:rsid w:val="735B38C2"/>
    <w:rsid w:val="73644352"/>
    <w:rsid w:val="73B928EF"/>
    <w:rsid w:val="73BB7764"/>
    <w:rsid w:val="73C00648"/>
    <w:rsid w:val="73C848E1"/>
    <w:rsid w:val="743A09AC"/>
    <w:rsid w:val="74822CE1"/>
    <w:rsid w:val="748C4417"/>
    <w:rsid w:val="74AB4451"/>
    <w:rsid w:val="75121D63"/>
    <w:rsid w:val="75183646"/>
    <w:rsid w:val="75364AB2"/>
    <w:rsid w:val="753F7DDE"/>
    <w:rsid w:val="757271FA"/>
    <w:rsid w:val="75C94940"/>
    <w:rsid w:val="75F23E97"/>
    <w:rsid w:val="760D2EF2"/>
    <w:rsid w:val="761A59AA"/>
    <w:rsid w:val="763267CE"/>
    <w:rsid w:val="764408F0"/>
    <w:rsid w:val="768A0550"/>
    <w:rsid w:val="76943C19"/>
    <w:rsid w:val="76982C90"/>
    <w:rsid w:val="769F7D2D"/>
    <w:rsid w:val="76AC5624"/>
    <w:rsid w:val="76C07AF1"/>
    <w:rsid w:val="76E2215D"/>
    <w:rsid w:val="76E71522"/>
    <w:rsid w:val="76F81981"/>
    <w:rsid w:val="771816DB"/>
    <w:rsid w:val="7719592A"/>
    <w:rsid w:val="77265838"/>
    <w:rsid w:val="77453A70"/>
    <w:rsid w:val="774B47AB"/>
    <w:rsid w:val="774E6F23"/>
    <w:rsid w:val="77507CEA"/>
    <w:rsid w:val="77715B79"/>
    <w:rsid w:val="777F010A"/>
    <w:rsid w:val="778925D9"/>
    <w:rsid w:val="779D7E32"/>
    <w:rsid w:val="77A25449"/>
    <w:rsid w:val="77B07B65"/>
    <w:rsid w:val="77BA4AAF"/>
    <w:rsid w:val="77D93560"/>
    <w:rsid w:val="77DC4DFE"/>
    <w:rsid w:val="77EB6DF0"/>
    <w:rsid w:val="77F113EF"/>
    <w:rsid w:val="77F60626"/>
    <w:rsid w:val="780B56E4"/>
    <w:rsid w:val="78212811"/>
    <w:rsid w:val="78267E28"/>
    <w:rsid w:val="782A5B6A"/>
    <w:rsid w:val="787C3EEC"/>
    <w:rsid w:val="787D3895"/>
    <w:rsid w:val="78852DA0"/>
    <w:rsid w:val="788A485A"/>
    <w:rsid w:val="78A51694"/>
    <w:rsid w:val="78B20E18"/>
    <w:rsid w:val="78E8311B"/>
    <w:rsid w:val="78E977D3"/>
    <w:rsid w:val="78F61EF0"/>
    <w:rsid w:val="792627D5"/>
    <w:rsid w:val="79336CA0"/>
    <w:rsid w:val="79462B72"/>
    <w:rsid w:val="7958008A"/>
    <w:rsid w:val="796055BB"/>
    <w:rsid w:val="798A4AAA"/>
    <w:rsid w:val="798F1F3A"/>
    <w:rsid w:val="79A7630E"/>
    <w:rsid w:val="79AC0800"/>
    <w:rsid w:val="79AD390E"/>
    <w:rsid w:val="79BD5564"/>
    <w:rsid w:val="79D622C7"/>
    <w:rsid w:val="79DF2984"/>
    <w:rsid w:val="7A0917AF"/>
    <w:rsid w:val="7A266805"/>
    <w:rsid w:val="7A3C3932"/>
    <w:rsid w:val="7A545120"/>
    <w:rsid w:val="7A6A66F1"/>
    <w:rsid w:val="7A765096"/>
    <w:rsid w:val="7A7F1A71"/>
    <w:rsid w:val="7AC202DC"/>
    <w:rsid w:val="7AC8734D"/>
    <w:rsid w:val="7AE446F6"/>
    <w:rsid w:val="7B087CB8"/>
    <w:rsid w:val="7B0922E3"/>
    <w:rsid w:val="7B167383"/>
    <w:rsid w:val="7B3B008E"/>
    <w:rsid w:val="7B5B603A"/>
    <w:rsid w:val="7B62561B"/>
    <w:rsid w:val="7B675EDE"/>
    <w:rsid w:val="7B737828"/>
    <w:rsid w:val="7C3945CD"/>
    <w:rsid w:val="7C3C40BE"/>
    <w:rsid w:val="7C6B3CCF"/>
    <w:rsid w:val="7C6D40EB"/>
    <w:rsid w:val="7C716D32"/>
    <w:rsid w:val="7C7C095E"/>
    <w:rsid w:val="7C84325A"/>
    <w:rsid w:val="7CA86118"/>
    <w:rsid w:val="7CB225D2"/>
    <w:rsid w:val="7CB400F8"/>
    <w:rsid w:val="7CF04285"/>
    <w:rsid w:val="7CF87BDF"/>
    <w:rsid w:val="7D2C5EE0"/>
    <w:rsid w:val="7D4476CE"/>
    <w:rsid w:val="7DB239A7"/>
    <w:rsid w:val="7DD21AAC"/>
    <w:rsid w:val="7DDA1DE0"/>
    <w:rsid w:val="7E12622D"/>
    <w:rsid w:val="7E20494F"/>
    <w:rsid w:val="7E7C2CBC"/>
    <w:rsid w:val="7E9006F1"/>
    <w:rsid w:val="7EAF0B77"/>
    <w:rsid w:val="7EBF4B32"/>
    <w:rsid w:val="7EC575F1"/>
    <w:rsid w:val="7ED21F55"/>
    <w:rsid w:val="7EE822DB"/>
    <w:rsid w:val="7F1C059D"/>
    <w:rsid w:val="7F413799"/>
    <w:rsid w:val="7F49127B"/>
    <w:rsid w:val="7F72355B"/>
    <w:rsid w:val="7F9D58B6"/>
    <w:rsid w:val="7FB0104A"/>
    <w:rsid w:val="7FC44AF6"/>
    <w:rsid w:val="7FD13EEA"/>
    <w:rsid w:val="7FDB599C"/>
    <w:rsid w:val="7FFB7D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6"/>
    <w:qFormat/>
    <w:uiPriority w:val="0"/>
    <w:pPr>
      <w:jc w:val="left"/>
    </w:pPr>
  </w:style>
  <w:style w:type="paragraph" w:styleId="4">
    <w:name w:val="Balloon Text"/>
    <w:basedOn w:val="1"/>
    <w:link w:val="18"/>
    <w:qFormat/>
    <w:uiPriority w:val="0"/>
    <w:rPr>
      <w:sz w:val="18"/>
      <w:szCs w:val="18"/>
    </w:rPr>
  </w:style>
  <w:style w:type="paragraph" w:styleId="5">
    <w:name w:val="footer"/>
    <w:basedOn w:val="1"/>
    <w:qFormat/>
    <w:uiPriority w:val="0"/>
    <w:pPr>
      <w:tabs>
        <w:tab w:val="center" w:pos="4153"/>
        <w:tab w:val="right" w:pos="8306"/>
      </w:tabs>
      <w:snapToGrid w:val="0"/>
      <w:jc w:val="left"/>
    </w:pPr>
    <w:rPr>
      <w:kern w:val="0"/>
      <w:sz w:val="18"/>
      <w:szCs w:val="18"/>
    </w:rPr>
  </w:style>
  <w:style w:type="paragraph" w:styleId="6">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99"/>
    <w:pPr>
      <w:spacing w:beforeAutospacing="1" w:afterAutospacing="1"/>
      <w:jc w:val="left"/>
    </w:pPr>
    <w:rPr>
      <w:kern w:val="0"/>
      <w:sz w:val="24"/>
    </w:rPr>
  </w:style>
  <w:style w:type="paragraph" w:styleId="8">
    <w:name w:val="annotation subject"/>
    <w:basedOn w:val="3"/>
    <w:next w:val="3"/>
    <w:link w:val="17"/>
    <w:qFormat/>
    <w:uiPriority w:val="0"/>
    <w:rPr>
      <w:b/>
      <w:bCs/>
    </w:rPr>
  </w:style>
  <w:style w:type="table" w:styleId="10">
    <w:name w:val="Table Grid"/>
    <w:basedOn w:val="9"/>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2">
    <w:name w:val="annotation reference"/>
    <w:basedOn w:val="11"/>
    <w:qFormat/>
    <w:uiPriority w:val="0"/>
    <w:rPr>
      <w:sz w:val="21"/>
      <w:szCs w:val="21"/>
    </w:rPr>
  </w:style>
  <w:style w:type="character" w:customStyle="1" w:styleId="13">
    <w:name w:val="页眉 字符"/>
    <w:basedOn w:val="11"/>
    <w:link w:val="6"/>
    <w:qFormat/>
    <w:uiPriority w:val="0"/>
    <w:rPr>
      <w:rFonts w:ascii="Times New Roman" w:hAnsi="Times New Roman" w:cs="Times New Roman"/>
      <w:kern w:val="2"/>
      <w:sz w:val="18"/>
      <w:szCs w:val="18"/>
    </w:rPr>
  </w:style>
  <w:style w:type="paragraph" w:customStyle="1" w:styleId="14">
    <w:name w:val="Char"/>
    <w:basedOn w:val="1"/>
    <w:next w:val="1"/>
    <w:qFormat/>
    <w:uiPriority w:val="0"/>
    <w:pPr>
      <w:spacing w:after="160" w:line="240" w:lineRule="exact"/>
    </w:pPr>
    <w:rPr>
      <w:szCs w:val="20"/>
    </w:rPr>
  </w:style>
  <w:style w:type="paragraph" w:customStyle="1" w:styleId="15">
    <w:name w:val="列出段落"/>
    <w:basedOn w:val="1"/>
    <w:qFormat/>
    <w:uiPriority w:val="0"/>
    <w:pPr>
      <w:ind w:firstLine="420" w:firstLineChars="200"/>
    </w:pPr>
    <w:rPr>
      <w:rFonts w:ascii="Calibri" w:hAnsi="Calibri"/>
      <w:szCs w:val="22"/>
    </w:rPr>
  </w:style>
  <w:style w:type="character" w:customStyle="1" w:styleId="16">
    <w:name w:val="批注文字 字符"/>
    <w:basedOn w:val="11"/>
    <w:link w:val="3"/>
    <w:qFormat/>
    <w:uiPriority w:val="0"/>
    <w:rPr>
      <w:kern w:val="2"/>
      <w:sz w:val="21"/>
      <w:szCs w:val="24"/>
    </w:rPr>
  </w:style>
  <w:style w:type="character" w:customStyle="1" w:styleId="17">
    <w:name w:val="批注主题 字符"/>
    <w:basedOn w:val="16"/>
    <w:link w:val="8"/>
    <w:qFormat/>
    <w:uiPriority w:val="0"/>
    <w:rPr>
      <w:b/>
      <w:bCs/>
      <w:kern w:val="2"/>
      <w:sz w:val="21"/>
      <w:szCs w:val="24"/>
    </w:rPr>
  </w:style>
  <w:style w:type="character" w:customStyle="1" w:styleId="18">
    <w:name w:val="批注框文本 字符"/>
    <w:basedOn w:val="11"/>
    <w:link w:val="4"/>
    <w:qFormat/>
    <w:uiPriority w:val="0"/>
    <w:rPr>
      <w:kern w:val="2"/>
      <w:sz w:val="18"/>
      <w:szCs w:val="18"/>
    </w:rPr>
  </w:style>
  <w:style w:type="paragraph" w:styleId="19">
    <w:name w:val="List Paragraph"/>
    <w:basedOn w:val="1"/>
    <w:qFormat/>
    <w:uiPriority w:val="99"/>
    <w:pPr>
      <w:ind w:firstLine="420" w:firstLineChars="200"/>
    </w:pPr>
  </w:style>
  <w:style w:type="table" w:customStyle="1" w:styleId="2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48</Pages>
  <Words>17477</Words>
  <Characters>20192</Characters>
  <Lines>146</Lines>
  <Paragraphs>41</Paragraphs>
  <TotalTime>2</TotalTime>
  <ScaleCrop>false</ScaleCrop>
  <LinksUpToDate>false</LinksUpToDate>
  <CharactersWithSpaces>20643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2021-05-12T15:22:00Z</dcterms:created>
  <dc:creator>73811</dc:creator>
  <cp:lastModifiedBy>龙友玉</cp:lastModifiedBy>
  <dcterms:modified xsi:type="dcterms:W3CDTF">2023-06-27T02:43:40Z</dcterms:modified>
  <cp:revision>256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443421287_cloud</vt:lpwstr>
  </property>
  <property fmtid="{D5CDD505-2E9C-101B-9397-08002B2CF9AE}" pid="4" name="ICV">
    <vt:lpwstr>442659C25DCA47BCB5B4426AAE62E556</vt:lpwstr>
  </property>
</Properties>
</file>